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7C" w:rsidRPr="00BC1A7C" w:rsidRDefault="00BC1A7C" w:rsidP="00BC1A7C">
      <w:pPr>
        <w:pStyle w:val="rtejustify"/>
        <w:shd w:val="clear" w:color="auto" w:fill="FFFFFF"/>
        <w:spacing w:before="0" w:beforeAutospacing="0" w:after="0" w:afterAutospacing="0" w:line="294" w:lineRule="atLeast"/>
        <w:jc w:val="both"/>
        <w:rPr>
          <w:rStyle w:val="apple-converted-space"/>
          <w:rFonts w:ascii="Arial" w:hAnsi="Arial" w:cs="Arial"/>
          <w:color w:val="222222"/>
          <w:bdr w:val="none" w:sz="0" w:space="0" w:color="auto" w:frame="1"/>
        </w:rPr>
      </w:pPr>
      <w:r w:rsidRPr="00BC1A7C">
        <w:rPr>
          <w:rStyle w:val="a3"/>
          <w:rFonts w:ascii="Arial" w:hAnsi="Arial" w:cs="Arial"/>
          <w:color w:val="222222"/>
          <w:bdr w:val="none" w:sz="0" w:space="0" w:color="auto" w:frame="1"/>
        </w:rPr>
        <w:t>СОГЛАШЕНИЕ</w:t>
      </w:r>
      <w:r w:rsidRPr="00BC1A7C">
        <w:rPr>
          <w:rStyle w:val="apple-converted-space"/>
          <w:rFonts w:ascii="Arial" w:hAnsi="Arial" w:cs="Arial"/>
          <w:color w:val="222222"/>
          <w:bdr w:val="none" w:sz="0" w:space="0" w:color="auto" w:frame="1"/>
        </w:rPr>
        <w:t> </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об особенностях таможенных операций в отношении товаров, пересылаемых в международных почтовых отправлениях</w:t>
      </w:r>
      <w:r w:rsidRPr="00BC1A7C">
        <w:rPr>
          <w:rStyle w:val="apple-converted-space"/>
          <w:rFonts w:ascii="Arial" w:hAnsi="Arial" w:cs="Arial"/>
          <w:color w:val="222222"/>
          <w:bdr w:val="none" w:sz="0" w:space="0" w:color="auto" w:frame="1"/>
        </w:rPr>
        <w:t> </w:t>
      </w:r>
      <w:r w:rsidRPr="00BC1A7C">
        <w:rPr>
          <w:rFonts w:ascii="Arial" w:hAnsi="Arial" w:cs="Arial"/>
          <w:color w:val="222222"/>
          <w:bdr w:val="none" w:sz="0" w:space="0" w:color="auto" w:frame="1"/>
        </w:rPr>
        <w:t>(Вступило в силу 3 июня 2011 года - Бюллетень международных договоров 2012 г., № 4, ст. 50)</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proofErr w:type="gramStart"/>
      <w:r w:rsidRPr="00BC1A7C">
        <w:rPr>
          <w:rFonts w:ascii="Arial" w:hAnsi="Arial" w:cs="Arial"/>
          <w:color w:val="222222"/>
          <w:bdr w:val="none" w:sz="0" w:space="0" w:color="auto" w:frame="1"/>
        </w:rPr>
        <w:t>Правительства государств-членов таможенного союза в рамках Евразийского экономического сообщества, именуемые в дальнейшем Сторонами, основываясь на положениях Договора о создании единой таможенной территории и формировании таможенного союза от 6 октября 2007 года и Договора о Таможенном кодексе таможенного союза, от 27 ноября 2009 года, руководствуясь общепризнанными принципами и нормами международного права, в целях упрощения таможенных операций и таможенного контроля в отношении</w:t>
      </w:r>
      <w:proofErr w:type="gramEnd"/>
      <w:r w:rsidRPr="00BC1A7C">
        <w:rPr>
          <w:rFonts w:ascii="Arial" w:hAnsi="Arial" w:cs="Arial"/>
          <w:color w:val="222222"/>
          <w:bdr w:val="none" w:sz="0" w:space="0" w:color="auto" w:frame="1"/>
        </w:rPr>
        <w:t xml:space="preserve"> товаров, перемещаемых через таможенную границу таможенного союза в международных почтовых отправлениях, а также пересылаемых между государствами Сторон, согласились о нижеследующем:</w:t>
      </w:r>
    </w:p>
    <w:p w:rsidR="00BC1A7C" w:rsidRPr="00BC1A7C" w:rsidRDefault="00BC1A7C" w:rsidP="00BC1A7C">
      <w:pPr>
        <w:pStyle w:val="rtejustify"/>
        <w:shd w:val="clear" w:color="auto" w:fill="FFFFFF"/>
        <w:spacing w:before="240" w:beforeAutospacing="0" w:after="240" w:afterAutospacing="0" w:line="294" w:lineRule="atLeast"/>
        <w:jc w:val="both"/>
        <w:rPr>
          <w:rFonts w:ascii="Arial" w:hAnsi="Arial" w:cs="Arial"/>
          <w:color w:val="222222"/>
        </w:rPr>
      </w:pPr>
      <w:r w:rsidRPr="00BC1A7C">
        <w:rPr>
          <w:rFonts w:ascii="Arial" w:hAnsi="Arial" w:cs="Arial"/>
          <w:color w:val="222222"/>
        </w:rPr>
        <w:t> </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Style w:val="a3"/>
          <w:rFonts w:ascii="Arial" w:hAnsi="Arial" w:cs="Arial"/>
          <w:color w:val="222222"/>
          <w:bdr w:val="none" w:sz="0" w:space="0" w:color="auto" w:frame="1"/>
        </w:rPr>
        <w:t>Статья 1</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Настоящее Соглашение определяет особенности таможенных операций в отношении товаров, пересылаемых в международных почтовых отправлениях, совершаемых при прибытии на таможенную территорию таможенного союза, убытии с этой территории, а также при помещении под таможенную процедуру таможенного транзита.</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Настоящее Соглашение не регулирует вопросы перемещения через таможенную границу таможенного союза дипломатической почты и консульской вализы.</w:t>
      </w:r>
    </w:p>
    <w:p w:rsidR="00BC1A7C" w:rsidRPr="00BC1A7C" w:rsidRDefault="00BC1A7C" w:rsidP="00BC1A7C">
      <w:pPr>
        <w:pStyle w:val="rtejustify"/>
        <w:shd w:val="clear" w:color="auto" w:fill="FFFFFF"/>
        <w:spacing w:before="240" w:beforeAutospacing="0" w:after="240" w:afterAutospacing="0" w:line="294" w:lineRule="atLeast"/>
        <w:jc w:val="both"/>
        <w:rPr>
          <w:rFonts w:ascii="Arial" w:hAnsi="Arial" w:cs="Arial"/>
          <w:color w:val="222222"/>
        </w:rPr>
      </w:pPr>
      <w:r w:rsidRPr="00BC1A7C">
        <w:rPr>
          <w:rFonts w:ascii="Arial" w:hAnsi="Arial" w:cs="Arial"/>
          <w:color w:val="222222"/>
        </w:rPr>
        <w:t> </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Style w:val="a3"/>
          <w:rFonts w:ascii="Arial" w:hAnsi="Arial" w:cs="Arial"/>
          <w:color w:val="222222"/>
          <w:bdr w:val="none" w:sz="0" w:space="0" w:color="auto" w:frame="1"/>
        </w:rPr>
        <w:t>Статья 2</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Для целей настоящего Соглашения используются следующие термин</w:t>
      </w:r>
      <w:bookmarkStart w:id="0" w:name="_GoBack"/>
      <w:bookmarkEnd w:id="0"/>
      <w:r w:rsidRPr="00BC1A7C">
        <w:rPr>
          <w:rFonts w:ascii="Arial" w:hAnsi="Arial" w:cs="Arial"/>
          <w:color w:val="222222"/>
          <w:bdr w:val="none" w:sz="0" w:space="0" w:color="auto" w:frame="1"/>
        </w:rPr>
        <w:t>ы:</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а) депеша - мешок, имеющий ярлык, или несколько мешков и других емкостей, опломбированных пломбой или без нее, содержащих почтовые отправления и (или) тару, которыми обмениваются места (учреждения) международного почтового обмена почтовых слу</w:t>
      </w:r>
      <w:proofErr w:type="gramStart"/>
      <w:r w:rsidRPr="00BC1A7C">
        <w:rPr>
          <w:rFonts w:ascii="Arial" w:hAnsi="Arial" w:cs="Arial"/>
          <w:color w:val="222222"/>
          <w:bdr w:val="none" w:sz="0" w:space="0" w:color="auto" w:frame="1"/>
        </w:rPr>
        <w:t>жб стр</w:t>
      </w:r>
      <w:proofErr w:type="gramEnd"/>
      <w:r w:rsidRPr="00BC1A7C">
        <w:rPr>
          <w:rFonts w:ascii="Arial" w:hAnsi="Arial" w:cs="Arial"/>
          <w:color w:val="222222"/>
          <w:bdr w:val="none" w:sz="0" w:space="0" w:color="auto" w:frame="1"/>
        </w:rPr>
        <w:t>ан-членов Всемирного почтового союза;</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б) внутрисоюзные почтовые отправления - почтовые отправления, пересылаемые из государства одной Стороны в государство другой Стороны, в том числе через территорию государства, не являющегося членом таможенного союза;</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xml:space="preserve">      в) назначенный оператор - любая государственная или негосударственная организация, официально назначаемая страной-членом Всемирного почтового союза для обеспечения эксплуатации почтовых служб и </w:t>
      </w:r>
      <w:proofErr w:type="gramStart"/>
      <w:r w:rsidRPr="00BC1A7C">
        <w:rPr>
          <w:rFonts w:ascii="Arial" w:hAnsi="Arial" w:cs="Arial"/>
          <w:color w:val="222222"/>
          <w:bdr w:val="none" w:sz="0" w:space="0" w:color="auto" w:frame="1"/>
        </w:rPr>
        <w:t>выполнения</w:t>
      </w:r>
      <w:proofErr w:type="gramEnd"/>
      <w:r w:rsidRPr="00BC1A7C">
        <w:rPr>
          <w:rFonts w:ascii="Arial" w:hAnsi="Arial" w:cs="Arial"/>
          <w:color w:val="222222"/>
          <w:bdr w:val="none" w:sz="0" w:space="0" w:color="auto" w:frame="1"/>
        </w:rPr>
        <w:t xml:space="preserve"> относящихся к ним обязательств, вытекающих из актов Всемирного почтового союза, на ее территории.</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Иные термины, используемые в настоящем Соглашении, применяются в значениях, установленных таможенным законодательством таможенного союза и (или) актами Всемирного почтового союза.</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Style w:val="a3"/>
          <w:rFonts w:ascii="Arial" w:hAnsi="Arial" w:cs="Arial"/>
          <w:color w:val="222222"/>
          <w:bdr w:val="none" w:sz="0" w:space="0" w:color="auto" w:frame="1"/>
        </w:rPr>
        <w:t>Статья 3</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xml:space="preserve">      Местами прибытия на таможенную территорию таможенного союза и местами убытия с такой территории депеш с международными почтовыми отправлениями </w:t>
      </w:r>
      <w:r w:rsidRPr="00BC1A7C">
        <w:rPr>
          <w:rFonts w:ascii="Arial" w:hAnsi="Arial" w:cs="Arial"/>
          <w:color w:val="222222"/>
          <w:bdr w:val="none" w:sz="0" w:space="0" w:color="auto" w:frame="1"/>
        </w:rPr>
        <w:lastRenderedPageBreak/>
        <w:t>являются пункты пропуска через государственные (таможенные) границы государства Стороны, определенные его законодательством.</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Товары, пересылаемые в международных почтовых отправлениях, прибывают на таможенную территорию таможенного союза и убывают с такой территории в местах (учреждениях) международного почтового обмена, определенных законодательством государства Стороны.</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Перевозка международных почтовых отправлений по таможенной территории таможенного союза, в том числе с перегрузкой (перевалкой) по пути следования, производится в соответствии с таможенной процедурой таможенного транзита в порядке, определенном таможенным законодательством таможенного союза и положениями настоящего Соглашения.</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Таможенные операции, связанные с выпуском товаров, пересылаемых в международных почтовых отправлениях, на таможенную территорию таможенного союза, за исключением выпуска в соответствии с таможенной процедурой таможенного транзита, производятся таможенным органом государства Стороны, являющегося страной назначения международного почтового отправления в порядке, определяемом уполномоченными органами Сторон, а именно: Государственным таможенным комитетом Республики Беларусь - с белорусской стороны, Министерством финансов Республики Казахстан - с казахстанской стороны и Федеральной таможенной службой (ФТС России) - с российской стороны.</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Таможенные операции, связанные с выпуском товаров, пересылаемых в международных почтовых отправлениях, с таможенной территории таможенного союза, за исключением выпуска в соответствии с таможенной процедурой таможенного транзита, производятся таможенным органом государства Стороны, являющегося страной отправления международного почтового отправления в порядке, определяемом уполномоченными органами Сторон, а именно: Государственным таможенным комитетом Республики Беларусь - с белорусской стороны, Министерством финансов Республики Казахстан - с казахстанской стороны и Федеральной таможенной службой (ФТС России) - с российской стороны.</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Style w:val="a3"/>
          <w:rFonts w:ascii="Arial" w:hAnsi="Arial" w:cs="Arial"/>
          <w:color w:val="222222"/>
          <w:bdr w:val="none" w:sz="0" w:space="0" w:color="auto" w:frame="1"/>
        </w:rPr>
        <w:t>Статья 4</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При прибытии международных почтовых отправлений на таможенную территорию таможенного союза и (или) их убытии с такой территории предоставляемые перевозчиком сведения о перемещаемых товарах ограничиваются сведениями, содержащимися в документах, определенных актами Всемирного почтового союза и сопровождающих международные почтовые отправления при их перевозке:</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о наименовании отправителя и получателя международных почтовых отправлений (учреждение обмена подачи, учреждение обмена назначения);</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о весе товаров брутто;</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о количестве грузовых мест.</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Сведения о наличии товаров, запрещенных и (или) ограниченных к перемещению через таможенную границу таможенного союза при ввозе и (или) вывозе, представляются перевозчиком в случае, если перевозчик располагает такой информацией.</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Иные сведения, установленные статьей 159 Таможенного кодекса таможенного союза, представляются перевозчиком в зависимости от вида транспорта.</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lastRenderedPageBreak/>
        <w:t>      Для целей соблюдения запретов и ограничений назначенными операторами стран-членов Всемирного почтового союза может представляться предварительная информация о пересылаемых товарах. Порядок предоставления и использования предварительной информации для таможенных целей определяется иными актами таможенного законодательства таможенного союза.</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Документы, подтверждающие соблюдение ограничений в отношении товаров, пересылаемых в международных почтовых отправлениях, представляются заинтересованным лицом или назначенным оператором таможенному органу в месте (учреждении) международного почтового обмена либо заинтересованным лицом в иных местах, определенных таможенным органом, при таможенном декларировании и выпуске товаров.</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Style w:val="a3"/>
          <w:rFonts w:ascii="Arial" w:hAnsi="Arial" w:cs="Arial"/>
          <w:color w:val="222222"/>
          <w:bdr w:val="none" w:sz="0" w:space="0" w:color="auto" w:frame="1"/>
        </w:rPr>
        <w:t>Статья 5</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Разрешение на убытие товаров, пересылаемых в международных почтовых отправлениях, с таможенной территории таможенного союза оформляется таможенным органом в месте (учреждении) международного почтового обмена.</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Разрешение на убытие международных почтовых отправлений с таможенной территории таможенного союза оформляется таможенным органом в пункте пропуска через государственные (таможенные) границы госуда</w:t>
      </w:r>
      <w:proofErr w:type="gramStart"/>
      <w:r w:rsidRPr="00BC1A7C">
        <w:rPr>
          <w:rFonts w:ascii="Arial" w:hAnsi="Arial" w:cs="Arial"/>
          <w:color w:val="222222"/>
          <w:bdr w:val="none" w:sz="0" w:space="0" w:color="auto" w:frame="1"/>
        </w:rPr>
        <w:t>рств Ст</w:t>
      </w:r>
      <w:proofErr w:type="gramEnd"/>
      <w:r w:rsidRPr="00BC1A7C">
        <w:rPr>
          <w:rFonts w:ascii="Arial" w:hAnsi="Arial" w:cs="Arial"/>
          <w:color w:val="222222"/>
          <w:bdr w:val="none" w:sz="0" w:space="0" w:color="auto" w:frame="1"/>
        </w:rPr>
        <w:t>орон на основании разрешения на убытие товаров, пересылаемых в международных почтовых отправлениях.</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Style w:val="a3"/>
          <w:rFonts w:ascii="Arial" w:hAnsi="Arial" w:cs="Arial"/>
          <w:color w:val="222222"/>
          <w:bdr w:val="none" w:sz="0" w:space="0" w:color="auto" w:frame="1"/>
        </w:rPr>
        <w:t>Статья 6</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При помещении международных почтовых отправлений и (или) товаров, пересылаемых в международных почтовых отправлениях, под таможенную процедуру таможенного транзита таможенным органом отправления в качестве транзитной декларации может приниматься один из следующих документов:</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а) транзитная декларация в письменном или электронном виде, содержащая сведения, установленные статьей 7 настоящего Соглашения;</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б) накладные сдачи CN 37, CN 38, CN 41, CN 46, CN 47, форма которых установлена актами Всемирного почтового союза, сопровождающие международные почтовые отправления при их перевозке и содержащие сведения, установленные статьей 7 настоящего Соглашения, в случае если:</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местом доставки товаров, перемещаемых в международных почтовых отправлениях, является:</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зона таможенного контроля в месте убытия;</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зона таможенного контроля в месте (учреждении) международного почтового обмена;</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зона таможенного контроля в месте перегрузки (перевалки) международных почтовых отправлений и нахождения таможенного органа (при перевозке до места (учреждения) международного почтового обмена либо места убытия);</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зона таможенного контроля в месте прибытия (при перевозке товаров таможенного союза через территорию государства, не являющегося членом таможенного союза);</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в) иные транспортные (перевозочные) документы, содержащие сведения, установленные статьей 7 настоящего Соглашения.</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xml:space="preserve">      При помещении международных почтовых отправлений и (или) товаров, пересылаемых в международных почтовых отправлениях, перевозка которых осуществляется назначенными операторами или в их адрес, под таможенную </w:t>
      </w:r>
      <w:r w:rsidRPr="00BC1A7C">
        <w:rPr>
          <w:rFonts w:ascii="Arial" w:hAnsi="Arial" w:cs="Arial"/>
          <w:color w:val="222222"/>
          <w:bdr w:val="none" w:sz="0" w:space="0" w:color="auto" w:frame="1"/>
        </w:rPr>
        <w:lastRenderedPageBreak/>
        <w:t>процедуру таможенного транзита обеспечение уплаты таможенных пошлин, налогов в отношении таких товаров не требуется.</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При недоставке международных почтовых отправлений и (или) товаров, пересылаемых в международных почтовых отправлениях, в место (учреждение) международного почтового обмена солидарную обязанность по уплате таможенных пошлин, налогов перед таможенным органом, до которого установлена таможенная процедура таможенного транзита, несет назначенный оператор государства-члена таможенного союза, являющегося страной назначения международных почтовых отправлений.</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При этом международные почтовые отправления и (или) товары, пересылаемые в международных почтовых отправлениях, помещенные под таможенную процедуру таможенного транзита и недоставленные в таможенный орган назначения, для целей уплаты и взыскания таможенных пошлин налогов считаются находящимися на территории государства-члена таможенного союза, до таможенного органа которого установлена таможенная процедура таможенного транзита.</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xml:space="preserve">      При недоставке международных почтовых отправлений и (или) товаров, пересылаемых в международных почтовых отправлениях, в место (учреждение) международного почтового обмена сумма подлежащих уплате ввозных таможенных пошлин, налогов исчисляется по единой ставке 4 евро за 1 кг веса брутто товаров, пересылаемых в международных почтовых отправлениях. При этом в вес брутто товаров не включается вес следующих видов международных почтовых отправлений: </w:t>
      </w:r>
      <w:proofErr w:type="spellStart"/>
      <w:r w:rsidRPr="00BC1A7C">
        <w:rPr>
          <w:rFonts w:ascii="Arial" w:hAnsi="Arial" w:cs="Arial"/>
          <w:color w:val="222222"/>
          <w:bdr w:val="none" w:sz="0" w:space="0" w:color="auto" w:frame="1"/>
        </w:rPr>
        <w:t>аэрограмм</w:t>
      </w:r>
      <w:proofErr w:type="spellEnd"/>
      <w:r w:rsidRPr="00BC1A7C">
        <w:rPr>
          <w:rFonts w:ascii="Arial" w:hAnsi="Arial" w:cs="Arial"/>
          <w:color w:val="222222"/>
          <w:bdr w:val="none" w:sz="0" w:space="0" w:color="auto" w:frame="1"/>
        </w:rPr>
        <w:t xml:space="preserve">; почтовых карточек и писем; </w:t>
      </w:r>
      <w:proofErr w:type="spellStart"/>
      <w:r w:rsidRPr="00BC1A7C">
        <w:rPr>
          <w:rFonts w:ascii="Arial" w:hAnsi="Arial" w:cs="Arial"/>
          <w:color w:val="222222"/>
          <w:bdr w:val="none" w:sz="0" w:space="0" w:color="auto" w:frame="1"/>
        </w:rPr>
        <w:t>секограмм</w:t>
      </w:r>
      <w:proofErr w:type="spellEnd"/>
      <w:r w:rsidRPr="00BC1A7C">
        <w:rPr>
          <w:rFonts w:ascii="Arial" w:hAnsi="Arial" w:cs="Arial"/>
          <w:color w:val="222222"/>
          <w:bdr w:val="none" w:sz="0" w:space="0" w:color="auto" w:frame="1"/>
        </w:rPr>
        <w:t>.</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Style w:val="a3"/>
          <w:rFonts w:ascii="Arial" w:hAnsi="Arial" w:cs="Arial"/>
          <w:color w:val="222222"/>
          <w:bdr w:val="none" w:sz="0" w:space="0" w:color="auto" w:frame="1"/>
        </w:rPr>
        <w:t>Статья 7</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Транзитная декларация, а также транспортные (перевозочные) документы, принимаемые таможенным органом отправления в качестве транзитной декларации, должны содержать сведения о (</w:t>
      </w:r>
      <w:proofErr w:type="gramStart"/>
      <w:r w:rsidRPr="00BC1A7C">
        <w:rPr>
          <w:rFonts w:ascii="Arial" w:hAnsi="Arial" w:cs="Arial"/>
          <w:color w:val="222222"/>
          <w:bdr w:val="none" w:sz="0" w:space="0" w:color="auto" w:frame="1"/>
        </w:rPr>
        <w:t>об</w:t>
      </w:r>
      <w:proofErr w:type="gramEnd"/>
      <w:r w:rsidRPr="00BC1A7C">
        <w:rPr>
          <w:rFonts w:ascii="Arial" w:hAnsi="Arial" w:cs="Arial"/>
          <w:color w:val="222222"/>
          <w:bdr w:val="none" w:sz="0" w:space="0" w:color="auto" w:frame="1"/>
        </w:rPr>
        <w:t>):</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xml:space="preserve">      </w:t>
      </w:r>
      <w:proofErr w:type="gramStart"/>
      <w:r w:rsidRPr="00BC1A7C">
        <w:rPr>
          <w:rFonts w:ascii="Arial" w:hAnsi="Arial" w:cs="Arial"/>
          <w:color w:val="222222"/>
          <w:bdr w:val="none" w:sz="0" w:space="0" w:color="auto" w:frame="1"/>
        </w:rPr>
        <w:t>отправителе</w:t>
      </w:r>
      <w:proofErr w:type="gramEnd"/>
      <w:r w:rsidRPr="00BC1A7C">
        <w:rPr>
          <w:rFonts w:ascii="Arial" w:hAnsi="Arial" w:cs="Arial"/>
          <w:color w:val="222222"/>
          <w:bdr w:val="none" w:sz="0" w:space="0" w:color="auto" w:frame="1"/>
        </w:rPr>
        <w:t xml:space="preserve"> (назначенном операторе страны подачи), получателе международных почтовых отправлений (учреждении обмена назначения);</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стране отправления, стране назначения международных почтовых отправлениях (страна учреждения обмена подачи, страна учреждения обмена назначения);</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xml:space="preserve">      </w:t>
      </w:r>
      <w:proofErr w:type="gramStart"/>
      <w:r w:rsidRPr="00BC1A7C">
        <w:rPr>
          <w:rFonts w:ascii="Arial" w:hAnsi="Arial" w:cs="Arial"/>
          <w:color w:val="222222"/>
          <w:bdr w:val="none" w:sz="0" w:space="0" w:color="auto" w:frame="1"/>
        </w:rPr>
        <w:t>перевозчике</w:t>
      </w:r>
      <w:proofErr w:type="gramEnd"/>
      <w:r w:rsidRPr="00BC1A7C">
        <w:rPr>
          <w:rFonts w:ascii="Arial" w:hAnsi="Arial" w:cs="Arial"/>
          <w:color w:val="222222"/>
          <w:bdr w:val="none" w:sz="0" w:space="0" w:color="auto" w:frame="1"/>
        </w:rPr>
        <w:t>;</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xml:space="preserve">      транспортном </w:t>
      </w:r>
      <w:proofErr w:type="gramStart"/>
      <w:r w:rsidRPr="00BC1A7C">
        <w:rPr>
          <w:rFonts w:ascii="Arial" w:hAnsi="Arial" w:cs="Arial"/>
          <w:color w:val="222222"/>
          <w:bdr w:val="none" w:sz="0" w:space="0" w:color="auto" w:frame="1"/>
        </w:rPr>
        <w:t>средстве</w:t>
      </w:r>
      <w:proofErr w:type="gramEnd"/>
      <w:r w:rsidRPr="00BC1A7C">
        <w:rPr>
          <w:rFonts w:ascii="Arial" w:hAnsi="Arial" w:cs="Arial"/>
          <w:color w:val="222222"/>
          <w:bdr w:val="none" w:sz="0" w:space="0" w:color="auto" w:frame="1"/>
        </w:rPr>
        <w:t xml:space="preserve"> международной перевозки;</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xml:space="preserve">      </w:t>
      </w:r>
      <w:proofErr w:type="gramStart"/>
      <w:r w:rsidRPr="00BC1A7C">
        <w:rPr>
          <w:rFonts w:ascii="Arial" w:hAnsi="Arial" w:cs="Arial"/>
          <w:color w:val="222222"/>
          <w:bdr w:val="none" w:sz="0" w:space="0" w:color="auto" w:frame="1"/>
        </w:rPr>
        <w:t>номерах</w:t>
      </w:r>
      <w:proofErr w:type="gramEnd"/>
      <w:r w:rsidRPr="00BC1A7C">
        <w:rPr>
          <w:rFonts w:ascii="Arial" w:hAnsi="Arial" w:cs="Arial"/>
          <w:color w:val="222222"/>
          <w:bdr w:val="none" w:sz="0" w:space="0" w:color="auto" w:frame="1"/>
        </w:rPr>
        <w:t xml:space="preserve"> депеш;</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xml:space="preserve">      </w:t>
      </w:r>
      <w:proofErr w:type="gramStart"/>
      <w:r w:rsidRPr="00BC1A7C">
        <w:rPr>
          <w:rFonts w:ascii="Arial" w:hAnsi="Arial" w:cs="Arial"/>
          <w:color w:val="222222"/>
          <w:bdr w:val="none" w:sz="0" w:space="0" w:color="auto" w:frame="1"/>
        </w:rPr>
        <w:t>весе</w:t>
      </w:r>
      <w:proofErr w:type="gramEnd"/>
      <w:r w:rsidRPr="00BC1A7C">
        <w:rPr>
          <w:rFonts w:ascii="Arial" w:hAnsi="Arial" w:cs="Arial"/>
          <w:color w:val="222222"/>
          <w:bdr w:val="none" w:sz="0" w:space="0" w:color="auto" w:frame="1"/>
        </w:rPr>
        <w:t xml:space="preserve"> брутто;</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xml:space="preserve">      </w:t>
      </w:r>
      <w:proofErr w:type="gramStart"/>
      <w:r w:rsidRPr="00BC1A7C">
        <w:rPr>
          <w:rFonts w:ascii="Arial" w:hAnsi="Arial" w:cs="Arial"/>
          <w:color w:val="222222"/>
          <w:bdr w:val="none" w:sz="0" w:space="0" w:color="auto" w:frame="1"/>
        </w:rPr>
        <w:t>количестве</w:t>
      </w:r>
      <w:proofErr w:type="gramEnd"/>
      <w:r w:rsidRPr="00BC1A7C">
        <w:rPr>
          <w:rFonts w:ascii="Arial" w:hAnsi="Arial" w:cs="Arial"/>
          <w:color w:val="222222"/>
          <w:bdr w:val="none" w:sz="0" w:space="0" w:color="auto" w:frame="1"/>
        </w:rPr>
        <w:t xml:space="preserve"> грузовых мест;</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планируемой перегрузке товаров или грузовых операциях в пути;</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xml:space="preserve">      </w:t>
      </w:r>
      <w:proofErr w:type="gramStart"/>
      <w:r w:rsidRPr="00BC1A7C">
        <w:rPr>
          <w:rFonts w:ascii="Arial" w:hAnsi="Arial" w:cs="Arial"/>
          <w:color w:val="222222"/>
          <w:bdr w:val="none" w:sz="0" w:space="0" w:color="auto" w:frame="1"/>
        </w:rPr>
        <w:t>пункте</w:t>
      </w:r>
      <w:proofErr w:type="gramEnd"/>
      <w:r w:rsidRPr="00BC1A7C">
        <w:rPr>
          <w:rFonts w:ascii="Arial" w:hAnsi="Arial" w:cs="Arial"/>
          <w:color w:val="222222"/>
          <w:bdr w:val="none" w:sz="0" w:space="0" w:color="auto" w:frame="1"/>
        </w:rPr>
        <w:t xml:space="preserve"> назначения (учреждении обмена назначения) международных почтовых отправлений.</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Style w:val="a3"/>
          <w:rFonts w:ascii="Arial" w:hAnsi="Arial" w:cs="Arial"/>
          <w:color w:val="222222"/>
          <w:bdr w:val="none" w:sz="0" w:space="0" w:color="auto" w:frame="1"/>
        </w:rPr>
        <w:t>Статья 8</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Внутрисоюзные почтовые отправления не подлежат таможенному контролю, не помещаются под таможенные процедуры, в отношении них не совершаются таможенные операции.</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Назначенные операторы госуда</w:t>
      </w:r>
      <w:proofErr w:type="gramStart"/>
      <w:r w:rsidRPr="00BC1A7C">
        <w:rPr>
          <w:rFonts w:ascii="Arial" w:hAnsi="Arial" w:cs="Arial"/>
          <w:color w:val="222222"/>
          <w:bdr w:val="none" w:sz="0" w:space="0" w:color="auto" w:frame="1"/>
        </w:rPr>
        <w:t>рств Ст</w:t>
      </w:r>
      <w:proofErr w:type="gramEnd"/>
      <w:r w:rsidRPr="00BC1A7C">
        <w:rPr>
          <w:rFonts w:ascii="Arial" w:hAnsi="Arial" w:cs="Arial"/>
          <w:color w:val="222222"/>
          <w:bdr w:val="none" w:sz="0" w:space="0" w:color="auto" w:frame="1"/>
        </w:rPr>
        <w:t>орон обеспечивают:</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информирование таможенных органов госуда</w:t>
      </w:r>
      <w:proofErr w:type="gramStart"/>
      <w:r w:rsidRPr="00BC1A7C">
        <w:rPr>
          <w:rFonts w:ascii="Arial" w:hAnsi="Arial" w:cs="Arial"/>
          <w:color w:val="222222"/>
          <w:bdr w:val="none" w:sz="0" w:space="0" w:color="auto" w:frame="1"/>
        </w:rPr>
        <w:t>рств Ст</w:t>
      </w:r>
      <w:proofErr w:type="gramEnd"/>
      <w:r w:rsidRPr="00BC1A7C">
        <w:rPr>
          <w:rFonts w:ascii="Arial" w:hAnsi="Arial" w:cs="Arial"/>
          <w:color w:val="222222"/>
          <w:bdr w:val="none" w:sz="0" w:space="0" w:color="auto" w:frame="1"/>
        </w:rPr>
        <w:t>орон о назначенных операторах и транспортных средствах, используемых назначенными операторами;</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lastRenderedPageBreak/>
        <w:t>      пересылку международных почтовых отправлений и внутрисоюзных почтовых отправлений в разных депешах по отдельным сопроводительным документам;</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идентификацию внутрисоюзных почтовых отправлений.</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xml:space="preserve">      О способе идентификации внутрисоюзных почтовых </w:t>
      </w:r>
      <w:proofErr w:type="gramStart"/>
      <w:r w:rsidRPr="00BC1A7C">
        <w:rPr>
          <w:rFonts w:ascii="Arial" w:hAnsi="Arial" w:cs="Arial"/>
          <w:color w:val="222222"/>
          <w:bdr w:val="none" w:sz="0" w:space="0" w:color="auto" w:frame="1"/>
        </w:rPr>
        <w:t>отправлений</w:t>
      </w:r>
      <w:proofErr w:type="gramEnd"/>
      <w:r w:rsidRPr="00BC1A7C">
        <w:rPr>
          <w:rFonts w:ascii="Arial" w:hAnsi="Arial" w:cs="Arial"/>
          <w:color w:val="222222"/>
          <w:bdr w:val="none" w:sz="0" w:space="0" w:color="auto" w:frame="1"/>
        </w:rPr>
        <w:t xml:space="preserve"> назначенные операторы уведомляют таможенные органы государств Сторон.</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При пересылке международных почтовых отправлений в одной депеше с внутрисоюзными почтовыми отправлениями, то такие депеши перемещаются по таможенной территории таможенного союза под таможенным контролем в соответствии с таможенной процедурой таможенного транзита.</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Style w:val="a3"/>
          <w:rFonts w:ascii="Arial" w:hAnsi="Arial" w:cs="Arial"/>
          <w:color w:val="222222"/>
          <w:bdr w:val="none" w:sz="0" w:space="0" w:color="auto" w:frame="1"/>
        </w:rPr>
        <w:t>Статья 9</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Для таможенных целей международными почтовыми отправлениями не являются отправления, сопровождаемые документами, предусмотренными актами Всемирного почтового союза, местом доставки которых при прибытии на таможенную территорию таможенного союза в соответствии с транспортными (перевозочными) документами является иное, чем место (учреждение) международного почтового обмена.</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Style w:val="a3"/>
          <w:rFonts w:ascii="Arial" w:hAnsi="Arial" w:cs="Arial"/>
          <w:color w:val="222222"/>
          <w:bdr w:val="none" w:sz="0" w:space="0" w:color="auto" w:frame="1"/>
        </w:rPr>
        <w:t>Статья 10</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Споры между Сторонами, связанные с толкованием и (или) применением положений настоящего Соглашения, разрешаются, в первую очередь, путем проведения переговоров и консультаций.</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xml:space="preserve">      </w:t>
      </w:r>
      <w:proofErr w:type="gramStart"/>
      <w:r w:rsidRPr="00BC1A7C">
        <w:rPr>
          <w:rFonts w:ascii="Arial" w:hAnsi="Arial" w:cs="Arial"/>
          <w:color w:val="222222"/>
          <w:bdr w:val="none" w:sz="0" w:space="0" w:color="auto" w:frame="1"/>
        </w:rPr>
        <w:t>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roofErr w:type="gramEnd"/>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Комиссия таможенного союза оказывает содействие Сторонам в урегулировании спора до его передачи для рассмотрения в Суд Евразийского экономического сообщества.</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Style w:val="a3"/>
          <w:rFonts w:ascii="Arial" w:hAnsi="Arial" w:cs="Arial"/>
          <w:color w:val="222222"/>
          <w:bdr w:val="none" w:sz="0" w:space="0" w:color="auto" w:frame="1"/>
        </w:rPr>
        <w:t>Статья 11</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В настоящее Соглашение могут быть внесены изменения, которые оформляются отдельными протоколами, являющимися неотъемлемыми частями настоящего соглашения.</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Style w:val="a3"/>
          <w:rFonts w:ascii="Arial" w:hAnsi="Arial" w:cs="Arial"/>
          <w:color w:val="222222"/>
          <w:bdr w:val="none" w:sz="0" w:space="0" w:color="auto" w:frame="1"/>
        </w:rPr>
        <w:t>Статья 12</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xml:space="preserve">      Настоящее Соглашение подлежит ратификации и временно применяется </w:t>
      </w:r>
      <w:proofErr w:type="gramStart"/>
      <w:r w:rsidRPr="00BC1A7C">
        <w:rPr>
          <w:rFonts w:ascii="Arial" w:hAnsi="Arial" w:cs="Arial"/>
          <w:color w:val="222222"/>
          <w:bdr w:val="none" w:sz="0" w:space="0" w:color="auto" w:frame="1"/>
        </w:rPr>
        <w:t>с даты вступления</w:t>
      </w:r>
      <w:proofErr w:type="gramEnd"/>
      <w:r w:rsidRPr="00BC1A7C">
        <w:rPr>
          <w:rFonts w:ascii="Arial" w:hAnsi="Arial" w:cs="Arial"/>
          <w:color w:val="222222"/>
          <w:bdr w:val="none" w:sz="0" w:space="0" w:color="auto" w:frame="1"/>
        </w:rPr>
        <w:t xml:space="preserve"> в силу Договора о Таможенном кодексе таможенного союза от 27 ноября 2009 года.</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Настоящее Соглашение вступает в силу со дня получения депозитарием последнего письменного уведомления по дипломатическим каналам о выполнении государствами Сторон внутригосударственных процедур, необходимых для вступления настоящего Соглашения в силу.</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Совершено в городе Санкт-Петербурге 18 июня 2010 года в одном подлинном экземпляре на русском языке.</w:t>
      </w:r>
    </w:p>
    <w:p w:rsidR="00BC1A7C" w:rsidRPr="00BC1A7C" w:rsidRDefault="00BC1A7C" w:rsidP="00BC1A7C">
      <w:pPr>
        <w:pStyle w:val="rtejustify"/>
        <w:shd w:val="clear" w:color="auto" w:fill="FFFFFF"/>
        <w:spacing w:before="0" w:beforeAutospacing="0" w:after="0" w:afterAutospacing="0" w:line="294" w:lineRule="atLeast"/>
        <w:jc w:val="both"/>
        <w:rPr>
          <w:rFonts w:ascii="Arial" w:hAnsi="Arial" w:cs="Arial"/>
          <w:color w:val="222222"/>
        </w:rPr>
      </w:pPr>
      <w:r w:rsidRPr="00BC1A7C">
        <w:rPr>
          <w:rFonts w:ascii="Arial" w:hAnsi="Arial" w:cs="Arial"/>
          <w:color w:val="222222"/>
          <w:bdr w:val="none" w:sz="0" w:space="0" w:color="auto" w:frame="1"/>
        </w:rPr>
        <w:t>     Подлинный экземпляр настоящего Соглашения хранится в Комиссии таможенного союза, которая направит каждой Стороне его заверенную копию.</w:t>
      </w:r>
    </w:p>
    <w:p w:rsidR="00BC1A7C" w:rsidRPr="00BC1A7C" w:rsidRDefault="00BC1A7C" w:rsidP="00BC1A7C">
      <w:pPr>
        <w:pStyle w:val="a4"/>
        <w:shd w:val="clear" w:color="auto" w:fill="FFFFFF"/>
        <w:spacing w:before="240" w:beforeAutospacing="0" w:after="240" w:afterAutospacing="0" w:line="294" w:lineRule="atLeast"/>
        <w:rPr>
          <w:rFonts w:ascii="Arial" w:hAnsi="Arial" w:cs="Arial"/>
          <w:color w:val="222222"/>
        </w:rPr>
      </w:pPr>
      <w:r w:rsidRPr="00BC1A7C">
        <w:rPr>
          <w:rFonts w:ascii="Arial" w:hAnsi="Arial" w:cs="Arial"/>
          <w:color w:val="222222"/>
        </w:rPr>
        <w:t> </w:t>
      </w:r>
    </w:p>
    <w:p w:rsidR="00BC1A7C" w:rsidRPr="00BC1A7C" w:rsidRDefault="00BC1A7C" w:rsidP="00BC1A7C">
      <w:pPr>
        <w:pStyle w:val="a4"/>
        <w:shd w:val="clear" w:color="auto" w:fill="FFFFFF"/>
        <w:spacing w:before="0" w:beforeAutospacing="0" w:after="0" w:afterAutospacing="0" w:line="294" w:lineRule="atLeast"/>
        <w:rPr>
          <w:rFonts w:ascii="Arial" w:hAnsi="Arial" w:cs="Arial"/>
          <w:color w:val="222222"/>
        </w:rPr>
      </w:pPr>
      <w:r w:rsidRPr="00BC1A7C">
        <w:rPr>
          <w:rFonts w:ascii="Arial" w:hAnsi="Arial" w:cs="Arial"/>
          <w:color w:val="222222"/>
          <w:bdr w:val="none" w:sz="0" w:space="0" w:color="auto" w:frame="1"/>
        </w:rPr>
        <w:lastRenderedPageBreak/>
        <w:t>За Правительство</w:t>
      </w:r>
      <w:proofErr w:type="gramStart"/>
      <w:r w:rsidRPr="00BC1A7C">
        <w:rPr>
          <w:rFonts w:ascii="Arial" w:hAnsi="Arial" w:cs="Arial"/>
          <w:color w:val="222222"/>
          <w:bdr w:val="none" w:sz="0" w:space="0" w:color="auto" w:frame="1"/>
        </w:rPr>
        <w:t>                                  </w:t>
      </w:r>
      <w:r w:rsidRPr="00BC1A7C">
        <w:rPr>
          <w:rFonts w:ascii="Arial" w:hAnsi="Arial" w:cs="Arial"/>
          <w:color w:val="222222"/>
          <w:bdr w:val="none" w:sz="0" w:space="0" w:color="auto" w:frame="1"/>
        </w:rPr>
        <w:tab/>
      </w:r>
      <w:r w:rsidRPr="00BC1A7C">
        <w:rPr>
          <w:rFonts w:ascii="Arial" w:hAnsi="Arial" w:cs="Arial"/>
          <w:color w:val="222222"/>
          <w:bdr w:val="none" w:sz="0" w:space="0" w:color="auto" w:frame="1"/>
        </w:rPr>
        <w:t xml:space="preserve"> З</w:t>
      </w:r>
      <w:proofErr w:type="gramEnd"/>
      <w:r w:rsidRPr="00BC1A7C">
        <w:rPr>
          <w:rFonts w:ascii="Arial" w:hAnsi="Arial" w:cs="Arial"/>
          <w:color w:val="222222"/>
          <w:bdr w:val="none" w:sz="0" w:space="0" w:color="auto" w:frame="1"/>
        </w:rPr>
        <w:t>а Правительство     За Правительство</w:t>
      </w:r>
    </w:p>
    <w:p w:rsidR="00627D0A" w:rsidRPr="00BC1A7C" w:rsidRDefault="00627D0A">
      <w:pPr>
        <w:rPr>
          <w:rFonts w:ascii="Arial" w:hAnsi="Arial" w:cs="Arial"/>
          <w:sz w:val="24"/>
          <w:szCs w:val="24"/>
        </w:rPr>
      </w:pPr>
    </w:p>
    <w:sectPr w:rsidR="00627D0A" w:rsidRPr="00BC1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7C"/>
    <w:rsid w:val="005E0339"/>
    <w:rsid w:val="00627D0A"/>
    <w:rsid w:val="00BC1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C1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C1A7C"/>
    <w:rPr>
      <w:b/>
      <w:bCs/>
    </w:rPr>
  </w:style>
  <w:style w:type="character" w:customStyle="1" w:styleId="apple-converted-space">
    <w:name w:val="apple-converted-space"/>
    <w:basedOn w:val="a0"/>
    <w:rsid w:val="00BC1A7C"/>
  </w:style>
  <w:style w:type="paragraph" w:styleId="a4">
    <w:name w:val="Normal (Web)"/>
    <w:basedOn w:val="a"/>
    <w:uiPriority w:val="99"/>
    <w:semiHidden/>
    <w:unhideWhenUsed/>
    <w:rsid w:val="00BC1A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C1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C1A7C"/>
    <w:rPr>
      <w:b/>
      <w:bCs/>
    </w:rPr>
  </w:style>
  <w:style w:type="character" w:customStyle="1" w:styleId="apple-converted-space">
    <w:name w:val="apple-converted-space"/>
    <w:basedOn w:val="a0"/>
    <w:rsid w:val="00BC1A7C"/>
  </w:style>
  <w:style w:type="paragraph" w:styleId="a4">
    <w:name w:val="Normal (Web)"/>
    <w:basedOn w:val="a"/>
    <w:uiPriority w:val="99"/>
    <w:semiHidden/>
    <w:unhideWhenUsed/>
    <w:rsid w:val="00BC1A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2074</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2015-04-07T04:10:00Z</dcterms:created>
  <dcterms:modified xsi:type="dcterms:W3CDTF">2015-04-07T04:12:00Z</dcterms:modified>
</cp:coreProperties>
</file>