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7A" w:rsidRPr="009F0289" w:rsidRDefault="0012777A" w:rsidP="0012777A">
      <w:pPr>
        <w:keepNext/>
        <w:spacing w:after="0" w:line="240" w:lineRule="auto"/>
        <w:jc w:val="both"/>
        <w:rPr>
          <w:rFonts w:ascii="Times New Roman" w:eastAsia="Times New Roman" w:hAnsi="Times New Roman"/>
          <w:bCs/>
          <w:sz w:val="28"/>
          <w:szCs w:val="28"/>
          <w:lang w:val="kk-KZ"/>
        </w:rPr>
      </w:pPr>
    </w:p>
    <w:p w:rsidR="008544AE" w:rsidRPr="009E1A71" w:rsidRDefault="0012777A" w:rsidP="0012777A">
      <w:pPr>
        <w:keepNext/>
        <w:spacing w:after="0" w:line="240" w:lineRule="auto"/>
        <w:jc w:val="center"/>
        <w:rPr>
          <w:rFonts w:ascii="Times New Roman" w:eastAsia="Times New Roman" w:hAnsi="Times New Roman"/>
          <w:b/>
          <w:bCs/>
          <w:sz w:val="28"/>
          <w:szCs w:val="28"/>
          <w:lang w:val="ru-RU"/>
        </w:rPr>
      </w:pPr>
      <w:r w:rsidRPr="009E1A71">
        <w:rPr>
          <w:rFonts w:ascii="Times New Roman" w:eastAsia="Times New Roman" w:hAnsi="Times New Roman"/>
          <w:b/>
          <w:bCs/>
          <w:sz w:val="28"/>
          <w:szCs w:val="28"/>
          <w:lang w:val="ru-RU"/>
        </w:rPr>
        <w:t xml:space="preserve">Отчет о реализации стратегического плана </w:t>
      </w:r>
    </w:p>
    <w:p w:rsidR="008544AE" w:rsidRPr="009E1A71" w:rsidRDefault="008544AE" w:rsidP="0012777A">
      <w:pPr>
        <w:keepNext/>
        <w:spacing w:after="0" w:line="240" w:lineRule="auto"/>
        <w:jc w:val="center"/>
        <w:rPr>
          <w:rFonts w:ascii="Times New Roman" w:eastAsia="Times New Roman" w:hAnsi="Times New Roman"/>
          <w:b/>
          <w:bCs/>
          <w:sz w:val="28"/>
          <w:szCs w:val="28"/>
          <w:lang w:val="ru-RU"/>
        </w:rPr>
      </w:pPr>
      <w:r w:rsidRPr="009E1A71">
        <w:rPr>
          <w:rFonts w:ascii="Times New Roman" w:eastAsia="Times New Roman" w:hAnsi="Times New Roman"/>
          <w:b/>
          <w:bCs/>
          <w:sz w:val="28"/>
          <w:szCs w:val="28"/>
          <w:lang w:val="ru-RU"/>
        </w:rPr>
        <w:t>Министерства финансов Республики Казахстан</w:t>
      </w:r>
      <w:r w:rsidR="0012777A" w:rsidRPr="009E1A71">
        <w:rPr>
          <w:rFonts w:ascii="Times New Roman" w:eastAsia="Times New Roman" w:hAnsi="Times New Roman"/>
          <w:b/>
          <w:bCs/>
          <w:sz w:val="28"/>
          <w:szCs w:val="28"/>
          <w:lang w:val="ru-RU"/>
        </w:rPr>
        <w:t xml:space="preserve"> </w:t>
      </w:r>
    </w:p>
    <w:p w:rsidR="0012777A" w:rsidRPr="009E1A71" w:rsidRDefault="008544AE" w:rsidP="0012777A">
      <w:pPr>
        <w:keepNext/>
        <w:spacing w:after="0" w:line="240" w:lineRule="auto"/>
        <w:jc w:val="center"/>
        <w:rPr>
          <w:rFonts w:ascii="Times New Roman" w:eastAsia="Times New Roman" w:hAnsi="Times New Roman"/>
          <w:b/>
          <w:bCs/>
          <w:sz w:val="28"/>
          <w:szCs w:val="28"/>
          <w:lang w:val="ru-RU"/>
        </w:rPr>
      </w:pPr>
      <w:r w:rsidRPr="009E1A71">
        <w:rPr>
          <w:rFonts w:ascii="Times New Roman" w:eastAsia="Times New Roman" w:hAnsi="Times New Roman"/>
          <w:b/>
          <w:bCs/>
          <w:sz w:val="28"/>
          <w:szCs w:val="28"/>
          <w:lang w:val="ru-RU"/>
        </w:rPr>
        <w:t>н</w:t>
      </w:r>
      <w:r w:rsidR="0012777A" w:rsidRPr="009E1A71">
        <w:rPr>
          <w:rFonts w:ascii="Times New Roman" w:eastAsia="Times New Roman" w:hAnsi="Times New Roman"/>
          <w:b/>
          <w:bCs/>
          <w:sz w:val="28"/>
          <w:szCs w:val="28"/>
          <w:lang w:val="ru-RU"/>
        </w:rPr>
        <w:t>а</w:t>
      </w:r>
      <w:r w:rsidRPr="009E1A71">
        <w:rPr>
          <w:rFonts w:ascii="Times New Roman" w:eastAsia="Times New Roman" w:hAnsi="Times New Roman"/>
          <w:b/>
          <w:bCs/>
          <w:sz w:val="28"/>
          <w:szCs w:val="28"/>
          <w:lang w:val="ru-RU"/>
        </w:rPr>
        <w:t xml:space="preserve"> 20</w:t>
      </w:r>
      <w:r w:rsidR="00D35EF3" w:rsidRPr="009E1A71">
        <w:rPr>
          <w:rFonts w:ascii="Times New Roman" w:eastAsia="Times New Roman" w:hAnsi="Times New Roman"/>
          <w:b/>
          <w:bCs/>
          <w:sz w:val="28"/>
          <w:szCs w:val="28"/>
          <w:lang w:val="ru-RU"/>
        </w:rPr>
        <w:t>17-2021</w:t>
      </w:r>
      <w:r w:rsidRPr="009E1A71">
        <w:rPr>
          <w:rFonts w:ascii="Times New Roman" w:eastAsia="Times New Roman" w:hAnsi="Times New Roman"/>
          <w:b/>
          <w:bCs/>
          <w:sz w:val="28"/>
          <w:szCs w:val="28"/>
          <w:lang w:val="ru-RU"/>
        </w:rPr>
        <w:t xml:space="preserve"> годы</w:t>
      </w:r>
    </w:p>
    <w:p w:rsidR="0012777A" w:rsidRPr="009E1A71" w:rsidRDefault="008544AE" w:rsidP="0012777A">
      <w:pPr>
        <w:keepNext/>
        <w:spacing w:after="0" w:line="240" w:lineRule="auto"/>
        <w:jc w:val="center"/>
        <w:rPr>
          <w:rFonts w:ascii="Times New Roman" w:eastAsia="Times New Roman" w:hAnsi="Times New Roman"/>
          <w:b/>
          <w:bCs/>
          <w:sz w:val="28"/>
          <w:szCs w:val="28"/>
          <w:lang w:val="ru-RU"/>
        </w:rPr>
      </w:pPr>
      <w:r w:rsidRPr="009E1A71">
        <w:rPr>
          <w:rFonts w:ascii="Times New Roman" w:eastAsia="Times New Roman" w:hAnsi="Times New Roman"/>
          <w:b/>
          <w:bCs/>
          <w:sz w:val="28"/>
          <w:szCs w:val="28"/>
          <w:lang w:val="ru-RU"/>
        </w:rPr>
        <w:t>утвержденного приказом Министра финансов Республики Казахстан от</w:t>
      </w:r>
      <w:r w:rsidRPr="009E1A71">
        <w:rPr>
          <w:rFonts w:ascii="Times New Roman" w:eastAsia="Times New Roman" w:hAnsi="Times New Roman"/>
          <w:b/>
          <w:bCs/>
          <w:sz w:val="28"/>
          <w:szCs w:val="28"/>
          <w:lang w:val="ru-RU"/>
        </w:rPr>
        <w:br/>
        <w:t xml:space="preserve"> «2</w:t>
      </w:r>
      <w:r w:rsidR="00FD4C46" w:rsidRPr="009E1A71">
        <w:rPr>
          <w:rFonts w:ascii="Times New Roman" w:eastAsia="Times New Roman" w:hAnsi="Times New Roman"/>
          <w:b/>
          <w:bCs/>
          <w:sz w:val="28"/>
          <w:szCs w:val="28"/>
          <w:lang w:val="ru-RU"/>
        </w:rPr>
        <w:t>0</w:t>
      </w:r>
      <w:r w:rsidRPr="009E1A71">
        <w:rPr>
          <w:rFonts w:ascii="Times New Roman" w:eastAsia="Times New Roman" w:hAnsi="Times New Roman"/>
          <w:b/>
          <w:bCs/>
          <w:sz w:val="28"/>
          <w:szCs w:val="28"/>
          <w:lang w:val="ru-RU"/>
        </w:rPr>
        <w:t>» декабря 201</w:t>
      </w:r>
      <w:r w:rsidR="00FD4C46" w:rsidRPr="009E1A71">
        <w:rPr>
          <w:rFonts w:ascii="Times New Roman" w:eastAsia="Times New Roman" w:hAnsi="Times New Roman"/>
          <w:b/>
          <w:bCs/>
          <w:sz w:val="28"/>
          <w:szCs w:val="28"/>
          <w:lang w:val="ru-RU"/>
        </w:rPr>
        <w:t>6</w:t>
      </w:r>
      <w:r w:rsidRPr="009E1A71">
        <w:rPr>
          <w:rFonts w:ascii="Times New Roman" w:eastAsia="Times New Roman" w:hAnsi="Times New Roman"/>
          <w:b/>
          <w:bCs/>
          <w:sz w:val="28"/>
          <w:szCs w:val="28"/>
          <w:lang w:val="ru-RU"/>
        </w:rPr>
        <w:t xml:space="preserve"> года № </w:t>
      </w:r>
      <w:r w:rsidR="00FD4C46" w:rsidRPr="009E1A71">
        <w:rPr>
          <w:rFonts w:ascii="Times New Roman" w:eastAsia="Times New Roman" w:hAnsi="Times New Roman"/>
          <w:b/>
          <w:bCs/>
          <w:sz w:val="28"/>
          <w:szCs w:val="28"/>
          <w:lang w:val="ru-RU"/>
        </w:rPr>
        <w:t>674</w:t>
      </w:r>
      <w:r w:rsidRPr="009E1A71">
        <w:rPr>
          <w:rFonts w:ascii="Times New Roman" w:eastAsia="Times New Roman" w:hAnsi="Times New Roman"/>
          <w:b/>
          <w:bCs/>
          <w:sz w:val="28"/>
          <w:szCs w:val="28"/>
          <w:lang w:val="ru-RU"/>
        </w:rPr>
        <w:br/>
        <w:t xml:space="preserve"> </w:t>
      </w:r>
      <w:r w:rsidRPr="009E1A71">
        <w:rPr>
          <w:rFonts w:ascii="Times New Roman" w:hAnsi="Times New Roman" w:cs="Times New Roman"/>
          <w:b/>
          <w:color w:val="000000"/>
          <w:sz w:val="28"/>
          <w:szCs w:val="28"/>
          <w:lang w:val="ru-RU"/>
        </w:rPr>
        <w:t>«О Стратегическом плане Министерства</w:t>
      </w:r>
      <w:r w:rsidRPr="009E1A71">
        <w:rPr>
          <w:rFonts w:ascii="Times New Roman" w:hAnsi="Times New Roman" w:cs="Times New Roman"/>
          <w:b/>
          <w:color w:val="000000"/>
          <w:sz w:val="28"/>
          <w:szCs w:val="28"/>
          <w:lang w:val="kk-KZ"/>
        </w:rPr>
        <w:t xml:space="preserve"> </w:t>
      </w:r>
      <w:r w:rsidRPr="009E1A71">
        <w:rPr>
          <w:rFonts w:ascii="Times New Roman" w:hAnsi="Times New Roman" w:cs="Times New Roman"/>
          <w:b/>
          <w:color w:val="000000"/>
          <w:sz w:val="28"/>
          <w:szCs w:val="28"/>
          <w:lang w:val="ru-RU"/>
        </w:rPr>
        <w:t>финансов Республики Казахстан на 20</w:t>
      </w:r>
      <w:r w:rsidR="00D35EF3" w:rsidRPr="009E1A71">
        <w:rPr>
          <w:rFonts w:ascii="Times New Roman" w:hAnsi="Times New Roman" w:cs="Times New Roman"/>
          <w:b/>
          <w:color w:val="000000"/>
          <w:sz w:val="28"/>
          <w:szCs w:val="28"/>
          <w:lang w:val="ru-RU"/>
        </w:rPr>
        <w:t>17</w:t>
      </w:r>
      <w:r w:rsidRPr="009E1A71">
        <w:rPr>
          <w:rFonts w:ascii="Times New Roman" w:hAnsi="Times New Roman" w:cs="Times New Roman"/>
          <w:b/>
          <w:color w:val="000000"/>
          <w:sz w:val="28"/>
          <w:szCs w:val="28"/>
          <w:lang w:val="ru-RU"/>
        </w:rPr>
        <w:t>-20</w:t>
      </w:r>
      <w:r w:rsidR="00D35EF3" w:rsidRPr="009E1A71">
        <w:rPr>
          <w:rFonts w:ascii="Times New Roman" w:hAnsi="Times New Roman" w:cs="Times New Roman"/>
          <w:b/>
          <w:color w:val="000000"/>
          <w:sz w:val="28"/>
          <w:szCs w:val="28"/>
          <w:lang w:val="ru-RU"/>
        </w:rPr>
        <w:t>21</w:t>
      </w:r>
      <w:r w:rsidRPr="009E1A71">
        <w:rPr>
          <w:rFonts w:ascii="Times New Roman" w:hAnsi="Times New Roman" w:cs="Times New Roman"/>
          <w:b/>
          <w:color w:val="000000"/>
          <w:sz w:val="28"/>
          <w:szCs w:val="28"/>
          <w:lang w:val="ru-RU"/>
        </w:rPr>
        <w:t xml:space="preserve"> годы»</w:t>
      </w:r>
      <w:r w:rsidRPr="009E1A71">
        <w:rPr>
          <w:rFonts w:ascii="Times New Roman" w:eastAsia="Times New Roman" w:hAnsi="Times New Roman"/>
          <w:b/>
          <w:bCs/>
          <w:sz w:val="28"/>
          <w:szCs w:val="28"/>
          <w:lang w:val="ru-RU"/>
        </w:rPr>
        <w:t xml:space="preserve">  </w:t>
      </w:r>
    </w:p>
    <w:p w:rsidR="0012777A" w:rsidRPr="009E1A71" w:rsidRDefault="0012777A" w:rsidP="0012777A">
      <w:pPr>
        <w:keepNext/>
        <w:spacing w:after="0" w:line="240" w:lineRule="auto"/>
        <w:jc w:val="center"/>
        <w:rPr>
          <w:rFonts w:ascii="Times New Roman" w:eastAsia="Times New Roman" w:hAnsi="Times New Roman"/>
          <w:b/>
          <w:bCs/>
          <w:sz w:val="28"/>
          <w:szCs w:val="28"/>
          <w:lang w:val="ru-RU"/>
        </w:rPr>
      </w:pPr>
      <w:r w:rsidRPr="009E1A71">
        <w:rPr>
          <w:rFonts w:ascii="Times New Roman" w:eastAsia="Times New Roman" w:hAnsi="Times New Roman"/>
          <w:b/>
          <w:bCs/>
          <w:sz w:val="28"/>
          <w:szCs w:val="28"/>
          <w:lang w:val="ru-RU"/>
        </w:rPr>
        <w:t>Пери</w:t>
      </w:r>
      <w:r w:rsidR="008544AE" w:rsidRPr="009E1A71">
        <w:rPr>
          <w:rFonts w:ascii="Times New Roman" w:eastAsia="Times New Roman" w:hAnsi="Times New Roman"/>
          <w:b/>
          <w:bCs/>
          <w:sz w:val="28"/>
          <w:szCs w:val="28"/>
          <w:lang w:val="ru-RU"/>
        </w:rPr>
        <w:t>од отчета: 201</w:t>
      </w:r>
      <w:r w:rsidR="00C669D9" w:rsidRPr="009E1A71">
        <w:rPr>
          <w:rFonts w:ascii="Times New Roman" w:eastAsia="Times New Roman" w:hAnsi="Times New Roman"/>
          <w:b/>
          <w:bCs/>
          <w:sz w:val="28"/>
          <w:szCs w:val="28"/>
          <w:lang w:val="ru-RU"/>
        </w:rPr>
        <w:t>8</w:t>
      </w:r>
      <w:r w:rsidR="008544AE" w:rsidRPr="009E1A71">
        <w:rPr>
          <w:rFonts w:ascii="Times New Roman" w:eastAsia="Times New Roman" w:hAnsi="Times New Roman"/>
          <w:b/>
          <w:bCs/>
          <w:sz w:val="28"/>
          <w:szCs w:val="28"/>
          <w:lang w:val="ru-RU"/>
        </w:rPr>
        <w:t xml:space="preserve"> год</w:t>
      </w:r>
    </w:p>
    <w:p w:rsidR="0012777A" w:rsidRPr="009E1A71" w:rsidRDefault="0012777A" w:rsidP="0012777A">
      <w:pPr>
        <w:keepNext/>
        <w:spacing w:after="0" w:line="240" w:lineRule="auto"/>
        <w:jc w:val="both"/>
        <w:rPr>
          <w:rFonts w:ascii="Times New Roman" w:eastAsia="Times New Roman" w:hAnsi="Times New Roman"/>
          <w:bCs/>
          <w:sz w:val="28"/>
          <w:szCs w:val="28"/>
          <w:lang w:val="ru-RU"/>
        </w:rPr>
      </w:pPr>
    </w:p>
    <w:p w:rsidR="0012777A" w:rsidRPr="009E1A71" w:rsidRDefault="0012777A" w:rsidP="0012777A">
      <w:pPr>
        <w:numPr>
          <w:ilvl w:val="0"/>
          <w:numId w:val="2"/>
        </w:numPr>
        <w:spacing w:after="0"/>
        <w:jc w:val="center"/>
        <w:rPr>
          <w:rFonts w:ascii="Times New Roman" w:hAnsi="Times New Roman"/>
          <w:b/>
          <w:sz w:val="28"/>
          <w:szCs w:val="28"/>
        </w:rPr>
      </w:pPr>
      <w:proofErr w:type="spellStart"/>
      <w:r w:rsidRPr="009E1A71">
        <w:rPr>
          <w:rFonts w:ascii="Times New Roman" w:hAnsi="Times New Roman"/>
          <w:b/>
          <w:sz w:val="28"/>
          <w:szCs w:val="28"/>
        </w:rPr>
        <w:t>Анализ</w:t>
      </w:r>
      <w:proofErr w:type="spellEnd"/>
      <w:r w:rsidRPr="009E1A71">
        <w:rPr>
          <w:rFonts w:ascii="Times New Roman" w:hAnsi="Times New Roman"/>
          <w:b/>
          <w:sz w:val="28"/>
          <w:szCs w:val="28"/>
        </w:rPr>
        <w:t xml:space="preserve"> </w:t>
      </w:r>
      <w:proofErr w:type="spellStart"/>
      <w:r w:rsidRPr="009E1A71">
        <w:rPr>
          <w:rFonts w:ascii="Times New Roman" w:hAnsi="Times New Roman"/>
          <w:b/>
          <w:sz w:val="28"/>
          <w:szCs w:val="28"/>
        </w:rPr>
        <w:t>управления</w:t>
      </w:r>
      <w:proofErr w:type="spellEnd"/>
      <w:r w:rsidRPr="009E1A71">
        <w:rPr>
          <w:rFonts w:ascii="Times New Roman" w:hAnsi="Times New Roman"/>
          <w:b/>
          <w:sz w:val="28"/>
          <w:szCs w:val="28"/>
        </w:rPr>
        <w:t xml:space="preserve"> </w:t>
      </w:r>
      <w:proofErr w:type="spellStart"/>
      <w:r w:rsidRPr="009E1A71">
        <w:rPr>
          <w:rFonts w:ascii="Times New Roman" w:hAnsi="Times New Roman"/>
          <w:b/>
          <w:sz w:val="28"/>
          <w:szCs w:val="28"/>
        </w:rPr>
        <w:t>рисками</w:t>
      </w:r>
      <w:proofErr w:type="spellEnd"/>
    </w:p>
    <w:p w:rsidR="0012777A" w:rsidRPr="009E1A71" w:rsidRDefault="0012777A" w:rsidP="0012777A">
      <w:pPr>
        <w:spacing w:after="0"/>
        <w:ind w:left="720"/>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65"/>
        <w:gridCol w:w="4678"/>
        <w:gridCol w:w="1417"/>
      </w:tblGrid>
      <w:tr w:rsidR="0012777A" w:rsidRPr="00414260" w:rsidTr="007A26E0">
        <w:trPr>
          <w:trHeight w:val="30"/>
        </w:trPr>
        <w:tc>
          <w:tcPr>
            <w:tcW w:w="1696" w:type="dxa"/>
          </w:tcPr>
          <w:p w:rsidR="0012777A" w:rsidRPr="009E1A71" w:rsidRDefault="0012777A" w:rsidP="005C4F0D">
            <w:pPr>
              <w:spacing w:after="0" w:line="240" w:lineRule="auto"/>
              <w:jc w:val="center"/>
              <w:rPr>
                <w:rFonts w:ascii="Times New Roman" w:hAnsi="Times New Roman" w:cs="Times New Roman"/>
                <w:b/>
                <w:sz w:val="24"/>
                <w:szCs w:val="24"/>
              </w:rPr>
            </w:pPr>
            <w:proofErr w:type="spellStart"/>
            <w:r w:rsidRPr="009E1A71">
              <w:rPr>
                <w:rFonts w:ascii="Times New Roman" w:hAnsi="Times New Roman" w:cs="Times New Roman"/>
                <w:b/>
                <w:sz w:val="24"/>
                <w:szCs w:val="24"/>
              </w:rPr>
              <w:t>Наименование</w:t>
            </w:r>
            <w:proofErr w:type="spellEnd"/>
            <w:r w:rsidRPr="009E1A71">
              <w:rPr>
                <w:rFonts w:ascii="Times New Roman" w:hAnsi="Times New Roman" w:cs="Times New Roman"/>
                <w:b/>
                <w:sz w:val="24"/>
                <w:szCs w:val="24"/>
              </w:rPr>
              <w:t xml:space="preserve"> </w:t>
            </w:r>
            <w:proofErr w:type="spellStart"/>
            <w:r w:rsidRPr="009E1A71">
              <w:rPr>
                <w:rFonts w:ascii="Times New Roman" w:hAnsi="Times New Roman" w:cs="Times New Roman"/>
                <w:b/>
                <w:sz w:val="24"/>
                <w:szCs w:val="24"/>
              </w:rPr>
              <w:t>возможного</w:t>
            </w:r>
            <w:proofErr w:type="spellEnd"/>
            <w:r w:rsidRPr="009E1A71">
              <w:rPr>
                <w:rFonts w:ascii="Times New Roman" w:hAnsi="Times New Roman" w:cs="Times New Roman"/>
                <w:b/>
                <w:sz w:val="24"/>
                <w:szCs w:val="24"/>
              </w:rPr>
              <w:t xml:space="preserve"> </w:t>
            </w:r>
            <w:proofErr w:type="spellStart"/>
            <w:r w:rsidRPr="009E1A71">
              <w:rPr>
                <w:rFonts w:ascii="Times New Roman" w:hAnsi="Times New Roman" w:cs="Times New Roman"/>
                <w:b/>
                <w:sz w:val="24"/>
                <w:szCs w:val="24"/>
              </w:rPr>
              <w:t>риска</w:t>
            </w:r>
            <w:proofErr w:type="spellEnd"/>
          </w:p>
        </w:tc>
        <w:tc>
          <w:tcPr>
            <w:tcW w:w="2665" w:type="dxa"/>
          </w:tcPr>
          <w:p w:rsidR="0012777A" w:rsidRPr="009E1A71" w:rsidRDefault="0012777A" w:rsidP="005C4F0D">
            <w:pPr>
              <w:spacing w:after="0" w:line="240" w:lineRule="auto"/>
              <w:ind w:right="-108"/>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Запланированные мероприятия по управлению рисками</w:t>
            </w:r>
          </w:p>
        </w:tc>
        <w:tc>
          <w:tcPr>
            <w:tcW w:w="4678" w:type="dxa"/>
          </w:tcPr>
          <w:p w:rsidR="0012777A" w:rsidRPr="009E1A71" w:rsidRDefault="0012777A" w:rsidP="005C4F0D">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Фактическое исполнение мероприятий по управлению рисками</w:t>
            </w:r>
          </w:p>
        </w:tc>
        <w:tc>
          <w:tcPr>
            <w:tcW w:w="1417" w:type="dxa"/>
          </w:tcPr>
          <w:p w:rsidR="0012777A" w:rsidRPr="009E1A71" w:rsidRDefault="0012777A" w:rsidP="005C4F0D">
            <w:pPr>
              <w:spacing w:after="0" w:line="240" w:lineRule="auto"/>
              <w:ind w:left="-108"/>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Примечание</w:t>
            </w:r>
          </w:p>
          <w:p w:rsidR="0012777A" w:rsidRPr="009E1A71" w:rsidRDefault="0012777A" w:rsidP="005C4F0D">
            <w:pPr>
              <w:spacing w:after="0" w:line="240" w:lineRule="auto"/>
              <w:ind w:left="-108" w:right="-172"/>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 xml:space="preserve">(информация </w:t>
            </w:r>
            <w:r w:rsidRPr="009E1A71">
              <w:rPr>
                <w:rFonts w:ascii="Times New Roman" w:hAnsi="Times New Roman" w:cs="Times New Roman"/>
                <w:b/>
                <w:sz w:val="24"/>
                <w:szCs w:val="24"/>
                <w:lang w:val="ru-RU"/>
              </w:rPr>
              <w:br/>
              <w:t>об исполнении/</w:t>
            </w:r>
            <w:r w:rsidRPr="009E1A71">
              <w:rPr>
                <w:rFonts w:ascii="Times New Roman" w:hAnsi="Times New Roman" w:cs="Times New Roman"/>
                <w:b/>
                <w:sz w:val="24"/>
                <w:szCs w:val="24"/>
                <w:lang w:val="ru-RU"/>
              </w:rPr>
              <w:br/>
              <w:t xml:space="preserve">неисполнении) </w:t>
            </w:r>
          </w:p>
        </w:tc>
      </w:tr>
      <w:tr w:rsidR="0012777A" w:rsidRPr="009E1A71" w:rsidTr="007A26E0">
        <w:trPr>
          <w:trHeight w:val="30"/>
        </w:trPr>
        <w:tc>
          <w:tcPr>
            <w:tcW w:w="1696" w:type="dxa"/>
          </w:tcPr>
          <w:p w:rsidR="0012777A" w:rsidRPr="009E1A71" w:rsidRDefault="0012777A" w:rsidP="005C4F0D">
            <w:pPr>
              <w:spacing w:after="0" w:line="240" w:lineRule="auto"/>
              <w:jc w:val="center"/>
              <w:rPr>
                <w:rFonts w:ascii="Times New Roman" w:hAnsi="Times New Roman" w:cs="Times New Roman"/>
                <w:sz w:val="24"/>
                <w:szCs w:val="24"/>
              </w:rPr>
            </w:pPr>
            <w:r w:rsidRPr="009E1A71">
              <w:rPr>
                <w:rFonts w:ascii="Times New Roman" w:hAnsi="Times New Roman" w:cs="Times New Roman"/>
                <w:sz w:val="24"/>
                <w:szCs w:val="24"/>
              </w:rPr>
              <w:t>1</w:t>
            </w:r>
          </w:p>
        </w:tc>
        <w:tc>
          <w:tcPr>
            <w:tcW w:w="2665" w:type="dxa"/>
          </w:tcPr>
          <w:p w:rsidR="0012777A" w:rsidRPr="009E1A71" w:rsidRDefault="0012777A" w:rsidP="005C4F0D">
            <w:pPr>
              <w:spacing w:after="0" w:line="240" w:lineRule="auto"/>
              <w:jc w:val="center"/>
              <w:rPr>
                <w:rFonts w:ascii="Times New Roman" w:hAnsi="Times New Roman" w:cs="Times New Roman"/>
                <w:sz w:val="24"/>
                <w:szCs w:val="24"/>
              </w:rPr>
            </w:pPr>
            <w:r w:rsidRPr="009E1A71">
              <w:rPr>
                <w:rFonts w:ascii="Times New Roman" w:hAnsi="Times New Roman" w:cs="Times New Roman"/>
                <w:sz w:val="24"/>
                <w:szCs w:val="24"/>
              </w:rPr>
              <w:t>2</w:t>
            </w:r>
          </w:p>
        </w:tc>
        <w:tc>
          <w:tcPr>
            <w:tcW w:w="4678" w:type="dxa"/>
          </w:tcPr>
          <w:p w:rsidR="0012777A" w:rsidRPr="009E1A71" w:rsidRDefault="0012777A" w:rsidP="005C4F0D">
            <w:pPr>
              <w:spacing w:after="0" w:line="240" w:lineRule="auto"/>
              <w:jc w:val="center"/>
              <w:rPr>
                <w:rFonts w:ascii="Times New Roman" w:hAnsi="Times New Roman" w:cs="Times New Roman"/>
                <w:sz w:val="24"/>
                <w:szCs w:val="24"/>
              </w:rPr>
            </w:pPr>
            <w:r w:rsidRPr="009E1A71">
              <w:rPr>
                <w:rFonts w:ascii="Times New Roman" w:hAnsi="Times New Roman" w:cs="Times New Roman"/>
                <w:sz w:val="24"/>
                <w:szCs w:val="24"/>
              </w:rPr>
              <w:t>3</w:t>
            </w:r>
          </w:p>
        </w:tc>
        <w:tc>
          <w:tcPr>
            <w:tcW w:w="1417" w:type="dxa"/>
          </w:tcPr>
          <w:p w:rsidR="0012777A" w:rsidRPr="009E1A71" w:rsidRDefault="0012777A" w:rsidP="005C4F0D">
            <w:pPr>
              <w:spacing w:after="0" w:line="240" w:lineRule="auto"/>
              <w:jc w:val="center"/>
              <w:rPr>
                <w:rFonts w:ascii="Times New Roman" w:hAnsi="Times New Roman" w:cs="Times New Roman"/>
                <w:sz w:val="24"/>
                <w:szCs w:val="24"/>
              </w:rPr>
            </w:pPr>
            <w:r w:rsidRPr="009E1A71">
              <w:rPr>
                <w:rFonts w:ascii="Times New Roman" w:hAnsi="Times New Roman" w:cs="Times New Roman"/>
                <w:sz w:val="24"/>
                <w:szCs w:val="24"/>
              </w:rPr>
              <w:t>4</w:t>
            </w:r>
          </w:p>
        </w:tc>
      </w:tr>
      <w:tr w:rsidR="0012777A" w:rsidRPr="00414260" w:rsidTr="007A26E0">
        <w:trPr>
          <w:trHeight w:val="30"/>
        </w:trPr>
        <w:tc>
          <w:tcPr>
            <w:tcW w:w="10456" w:type="dxa"/>
            <w:gridSpan w:val="4"/>
          </w:tcPr>
          <w:p w:rsidR="0012777A" w:rsidRPr="009E1A71" w:rsidRDefault="0053715E" w:rsidP="005C4F0D">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Стратегическое направление 1. «</w:t>
            </w:r>
            <w:r w:rsidR="00D4433E" w:rsidRPr="009E1A71">
              <w:rPr>
                <w:rFonts w:ascii="Times New Roman" w:hAnsi="Times New Roman" w:cs="Times New Roman"/>
                <w:b/>
                <w:sz w:val="24"/>
                <w:szCs w:val="24"/>
                <w:lang w:val="ru-RU"/>
              </w:rPr>
              <w:t xml:space="preserve">Содействие </w:t>
            </w:r>
            <w:r w:rsidR="00B83A47" w:rsidRPr="009E1A71">
              <w:rPr>
                <w:rFonts w:ascii="Times New Roman" w:hAnsi="Times New Roman" w:cs="Times New Roman"/>
                <w:b/>
                <w:sz w:val="24"/>
                <w:szCs w:val="24"/>
                <w:lang w:val="ru-RU"/>
              </w:rPr>
              <w:t>устойчивости финансовой системы</w:t>
            </w:r>
            <w:r w:rsidRPr="009E1A71">
              <w:rPr>
                <w:rFonts w:ascii="Times New Roman" w:hAnsi="Times New Roman" w:cs="Times New Roman"/>
                <w:b/>
                <w:sz w:val="24"/>
                <w:szCs w:val="24"/>
                <w:lang w:val="ru-RU"/>
              </w:rPr>
              <w:t>»</w:t>
            </w:r>
          </w:p>
        </w:tc>
      </w:tr>
      <w:tr w:rsidR="0012777A" w:rsidRPr="009E1A71" w:rsidTr="007A26E0">
        <w:trPr>
          <w:trHeight w:val="30"/>
        </w:trPr>
        <w:tc>
          <w:tcPr>
            <w:tcW w:w="10456" w:type="dxa"/>
            <w:gridSpan w:val="4"/>
          </w:tcPr>
          <w:p w:rsidR="0012777A" w:rsidRPr="009E1A71" w:rsidRDefault="0053715E" w:rsidP="005C4F0D">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Цель 1.1. «</w:t>
            </w:r>
            <w:r w:rsidR="00D4433E" w:rsidRPr="009E1A71">
              <w:rPr>
                <w:rFonts w:ascii="Times New Roman" w:hAnsi="Times New Roman" w:cs="Times New Roman"/>
                <w:b/>
                <w:sz w:val="24"/>
                <w:szCs w:val="24"/>
                <w:lang w:val="ru-RU"/>
              </w:rPr>
              <w:t>Обеспечение сбалансированности бюджета</w:t>
            </w:r>
            <w:r w:rsidRPr="009E1A71">
              <w:rPr>
                <w:rFonts w:ascii="Times New Roman" w:hAnsi="Times New Roman" w:cs="Times New Roman"/>
                <w:b/>
                <w:sz w:val="24"/>
                <w:szCs w:val="24"/>
                <w:lang w:val="ru-RU"/>
              </w:rPr>
              <w:t>»</w:t>
            </w:r>
          </w:p>
        </w:tc>
      </w:tr>
      <w:tr w:rsidR="00D4433E" w:rsidRPr="009E1A71" w:rsidTr="007A26E0">
        <w:trPr>
          <w:trHeight w:val="599"/>
        </w:trPr>
        <w:tc>
          <w:tcPr>
            <w:tcW w:w="1696" w:type="dxa"/>
          </w:tcPr>
          <w:p w:rsidR="00D4433E" w:rsidRPr="009E1A71" w:rsidRDefault="00D4433E" w:rsidP="00436D3F">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Падение мировых цен на основные экспортные позиции: нефть, металлы (алюминий, цинк, свинец, медь).</w:t>
            </w:r>
          </w:p>
        </w:tc>
        <w:tc>
          <w:tcPr>
            <w:tcW w:w="2665" w:type="dxa"/>
          </w:tcPr>
          <w:p w:rsidR="00D4433E" w:rsidRPr="009E1A71" w:rsidRDefault="00D4433E" w:rsidP="00436D3F">
            <w:pPr>
              <w:spacing w:after="0" w:line="240" w:lineRule="auto"/>
              <w:ind w:right="34"/>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 xml:space="preserve">Усовершенствование контроля в рамках налогового и таможенного администрирования (электронные счета-фактуры, </w:t>
            </w:r>
            <w:proofErr w:type="gramStart"/>
            <w:r w:rsidRPr="009E1A71">
              <w:rPr>
                <w:rFonts w:ascii="Times New Roman" w:hAnsi="Times New Roman" w:cs="Times New Roman"/>
                <w:sz w:val="24"/>
                <w:szCs w:val="24"/>
                <w:lang w:val="ru-RU"/>
              </w:rPr>
              <w:t>контроль за</w:t>
            </w:r>
            <w:proofErr w:type="gramEnd"/>
            <w:r w:rsidRPr="009E1A71">
              <w:rPr>
                <w:rFonts w:ascii="Times New Roman" w:hAnsi="Times New Roman" w:cs="Times New Roman"/>
                <w:sz w:val="24"/>
                <w:szCs w:val="24"/>
                <w:lang w:val="ru-RU"/>
              </w:rPr>
              <w:t xml:space="preserve"> оборотом подакцизной продукции, внедрение режима горизонтального мониторинга,    поэтапное введение маркировки товаров контрольными (идентификационными) знаками и т.д.)</w:t>
            </w:r>
          </w:p>
        </w:tc>
        <w:tc>
          <w:tcPr>
            <w:tcW w:w="4678" w:type="dxa"/>
          </w:tcPr>
          <w:p w:rsidR="007A26E0" w:rsidRPr="009E1A71" w:rsidRDefault="007A26E0" w:rsidP="007A26E0">
            <w:pPr>
              <w:spacing w:after="0" w:line="240" w:lineRule="auto"/>
              <w:jc w:val="both"/>
              <w:rPr>
                <w:rFonts w:ascii="Times New Roman" w:hAnsi="Times New Roman" w:cs="Times New Roman"/>
                <w:kern w:val="24"/>
                <w:sz w:val="24"/>
                <w:szCs w:val="24"/>
                <w:lang w:val="ru-RU"/>
              </w:rPr>
            </w:pPr>
            <w:r w:rsidRPr="009E1A71">
              <w:rPr>
                <w:rFonts w:ascii="Times New Roman" w:hAnsi="Times New Roman" w:cs="Times New Roman"/>
                <w:kern w:val="24"/>
                <w:sz w:val="24"/>
                <w:szCs w:val="24"/>
                <w:lang w:val="ru-RU"/>
              </w:rPr>
              <w:t xml:space="preserve">В целях </w:t>
            </w:r>
            <w:proofErr w:type="gramStart"/>
            <w:r w:rsidRPr="009E1A71">
              <w:rPr>
                <w:rFonts w:ascii="Times New Roman" w:hAnsi="Times New Roman" w:cs="Times New Roman"/>
                <w:kern w:val="24"/>
                <w:sz w:val="24"/>
                <w:szCs w:val="24"/>
                <w:lang w:val="ru-RU"/>
              </w:rPr>
              <w:t>контроля за</w:t>
            </w:r>
            <w:proofErr w:type="gramEnd"/>
            <w:r w:rsidRPr="009E1A71">
              <w:rPr>
                <w:rFonts w:ascii="Times New Roman" w:hAnsi="Times New Roman" w:cs="Times New Roman"/>
                <w:kern w:val="24"/>
                <w:sz w:val="24"/>
                <w:szCs w:val="24"/>
                <w:lang w:val="ru-RU"/>
              </w:rPr>
              <w:t xml:space="preserve"> перемещением товаров от момента импорта до реализации конечному потребителю или экспорта из страны на базе информационной системы «Электронные счета-фактуры» реализован модуль «Виртуальный склад».</w:t>
            </w:r>
          </w:p>
          <w:p w:rsidR="007A26E0" w:rsidRPr="009E1A71" w:rsidRDefault="006E3A9B" w:rsidP="007A26E0">
            <w:pPr>
              <w:tabs>
                <w:tab w:val="left" w:pos="993"/>
              </w:tabs>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Ведется</w:t>
            </w:r>
            <w:r w:rsidR="007A26E0" w:rsidRPr="009E1A71">
              <w:rPr>
                <w:rFonts w:ascii="Times New Roman" w:hAnsi="Times New Roman" w:cs="Times New Roman"/>
                <w:sz w:val="24"/>
                <w:szCs w:val="24"/>
                <w:lang w:val="ru-RU"/>
              </w:rPr>
              <w:t xml:space="preserve"> работа по интеграции ИС ЭСФ с </w:t>
            </w:r>
            <w:r w:rsidRPr="009E1A71">
              <w:rPr>
                <w:rFonts w:ascii="Times New Roman" w:hAnsi="Times New Roman" w:cs="Times New Roman"/>
                <w:sz w:val="24"/>
                <w:szCs w:val="24"/>
                <w:lang w:val="ru-RU"/>
              </w:rPr>
              <w:t>ИС</w:t>
            </w:r>
            <w:r w:rsidR="007A26E0" w:rsidRPr="009E1A71">
              <w:rPr>
                <w:rFonts w:ascii="Times New Roman" w:hAnsi="Times New Roman" w:cs="Times New Roman"/>
                <w:sz w:val="24"/>
                <w:szCs w:val="24"/>
                <w:lang w:val="ru-RU"/>
              </w:rPr>
              <w:t xml:space="preserve"> «Электронные зерновые расписки» МСХ РК.</w:t>
            </w:r>
          </w:p>
          <w:p w:rsidR="007A26E0" w:rsidRPr="009E1A71" w:rsidRDefault="007A26E0" w:rsidP="007A26E0">
            <w:pPr>
              <w:tabs>
                <w:tab w:val="left" w:pos="993"/>
              </w:tabs>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В целях создани</w:t>
            </w:r>
            <w:r w:rsidR="006E3A9B" w:rsidRPr="009E1A71">
              <w:rPr>
                <w:rFonts w:ascii="Times New Roman" w:hAnsi="Times New Roman" w:cs="Times New Roman"/>
                <w:sz w:val="24"/>
                <w:szCs w:val="24"/>
                <w:lang w:val="ru-RU"/>
              </w:rPr>
              <w:t>я</w:t>
            </w:r>
            <w:r w:rsidRPr="009E1A71">
              <w:rPr>
                <w:rFonts w:ascii="Times New Roman" w:hAnsi="Times New Roman" w:cs="Times New Roman"/>
                <w:sz w:val="24"/>
                <w:szCs w:val="24"/>
                <w:lang w:val="ru-RU"/>
              </w:rPr>
              <w:t xml:space="preserve"> системы маркировки товаров в Казахстане с октября текущего года запущен пилотный проект по маркировке. </w:t>
            </w:r>
          </w:p>
          <w:p w:rsidR="00D4433E" w:rsidRPr="009E1A71" w:rsidRDefault="007A26E0" w:rsidP="007A26E0">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 xml:space="preserve">В целях противодействия нелегальному производству и обороту этилового спирта, алкогольной продукции и нефтепродуктов введены контрольные приборы учета (КПУ), которые позволяют снизить нелегальный </w:t>
            </w:r>
            <w:r w:rsidR="00C85AC9" w:rsidRPr="009E1A71">
              <w:rPr>
                <w:rFonts w:ascii="Times New Roman" w:hAnsi="Times New Roman" w:cs="Times New Roman"/>
                <w:sz w:val="24"/>
                <w:szCs w:val="24"/>
                <w:lang w:val="ru-RU"/>
              </w:rPr>
              <w:t>оборот,</w:t>
            </w:r>
            <w:r w:rsidRPr="009E1A71">
              <w:rPr>
                <w:rFonts w:ascii="Times New Roman" w:hAnsi="Times New Roman" w:cs="Times New Roman"/>
                <w:sz w:val="24"/>
                <w:szCs w:val="24"/>
                <w:lang w:val="ru-RU"/>
              </w:rPr>
              <w:t xml:space="preserve"> и приведут к повышению собираемости налогов</w:t>
            </w:r>
          </w:p>
        </w:tc>
        <w:tc>
          <w:tcPr>
            <w:tcW w:w="1417" w:type="dxa"/>
          </w:tcPr>
          <w:p w:rsidR="008E697E" w:rsidRPr="009E1A71" w:rsidRDefault="008E697E" w:rsidP="005C4F0D">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Исполнено</w:t>
            </w:r>
          </w:p>
          <w:p w:rsidR="00D4433E" w:rsidRPr="009E1A71" w:rsidRDefault="00D4433E" w:rsidP="005C4F0D">
            <w:pPr>
              <w:spacing w:after="0" w:line="240" w:lineRule="auto"/>
              <w:jc w:val="center"/>
              <w:rPr>
                <w:rFonts w:ascii="Times New Roman" w:hAnsi="Times New Roman" w:cs="Times New Roman"/>
                <w:sz w:val="24"/>
                <w:szCs w:val="24"/>
                <w:lang w:val="ru-RU"/>
              </w:rPr>
            </w:pPr>
          </w:p>
        </w:tc>
      </w:tr>
      <w:tr w:rsidR="00E51741" w:rsidRPr="00414260" w:rsidTr="007A26E0">
        <w:trPr>
          <w:trHeight w:val="30"/>
        </w:trPr>
        <w:tc>
          <w:tcPr>
            <w:tcW w:w="10456" w:type="dxa"/>
            <w:gridSpan w:val="4"/>
            <w:tcBorders>
              <w:right w:val="single" w:sz="4" w:space="0" w:color="auto"/>
            </w:tcBorders>
          </w:tcPr>
          <w:p w:rsidR="00E51741" w:rsidRPr="009E1A71" w:rsidRDefault="00E51741" w:rsidP="005C4F0D">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Цель 1.2. «Обеспечение эффективности налогового и таможенного контроля»</w:t>
            </w:r>
          </w:p>
        </w:tc>
      </w:tr>
      <w:tr w:rsidR="00590B8B" w:rsidRPr="009E1A71" w:rsidTr="007A26E0">
        <w:trPr>
          <w:trHeight w:val="30"/>
        </w:trPr>
        <w:tc>
          <w:tcPr>
            <w:tcW w:w="1696" w:type="dxa"/>
          </w:tcPr>
          <w:p w:rsidR="00590B8B" w:rsidRPr="009E1A71" w:rsidRDefault="00590B8B" w:rsidP="00436D3F">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 xml:space="preserve">Неполный охват декларированием в связи с отсутствием интернет соединения в </w:t>
            </w:r>
            <w:r w:rsidRPr="009E1A71">
              <w:rPr>
                <w:rFonts w:ascii="Times New Roman" w:hAnsi="Times New Roman" w:cs="Times New Roman"/>
                <w:sz w:val="24"/>
                <w:szCs w:val="24"/>
                <w:lang w:val="ru-RU"/>
              </w:rPr>
              <w:lastRenderedPageBreak/>
              <w:t>отдаленно расположенных сельских местностях</w:t>
            </w:r>
          </w:p>
          <w:p w:rsidR="00590B8B" w:rsidRPr="009E1A71" w:rsidRDefault="00590B8B" w:rsidP="00436D3F">
            <w:pPr>
              <w:pStyle w:val="ac"/>
              <w:jc w:val="both"/>
              <w:rPr>
                <w:color w:val="auto"/>
              </w:rPr>
            </w:pPr>
          </w:p>
        </w:tc>
        <w:tc>
          <w:tcPr>
            <w:tcW w:w="2665" w:type="dxa"/>
          </w:tcPr>
          <w:p w:rsidR="00590B8B" w:rsidRPr="009E1A71" w:rsidRDefault="00590B8B" w:rsidP="00436D3F">
            <w:pPr>
              <w:pStyle w:val="ac"/>
              <w:jc w:val="both"/>
              <w:rPr>
                <w:rFonts w:eastAsia="Consolas"/>
                <w:color w:val="auto"/>
                <w:lang w:eastAsia="en-US"/>
              </w:rPr>
            </w:pPr>
            <w:r w:rsidRPr="009E1A71">
              <w:rPr>
                <w:rFonts w:eastAsia="Consolas"/>
                <w:color w:val="auto"/>
                <w:lang w:eastAsia="en-US"/>
              </w:rPr>
              <w:lastRenderedPageBreak/>
              <w:t xml:space="preserve">Проведение мероприятий по расширению количества точек доступа для физических лиц в органах </w:t>
            </w:r>
            <w:r w:rsidRPr="009E1A71">
              <w:rPr>
                <w:rFonts w:eastAsia="Consolas"/>
                <w:color w:val="auto"/>
                <w:lang w:eastAsia="en-US"/>
              </w:rPr>
              <w:lastRenderedPageBreak/>
              <w:t xml:space="preserve">государственных доходов, ЦОН-ах и </w:t>
            </w:r>
            <w:proofErr w:type="spellStart"/>
            <w:r w:rsidRPr="009E1A71">
              <w:rPr>
                <w:rFonts w:eastAsia="Consolas"/>
                <w:color w:val="auto"/>
                <w:lang w:eastAsia="en-US"/>
              </w:rPr>
              <w:t>акиматах</w:t>
            </w:r>
            <w:proofErr w:type="spellEnd"/>
            <w:r w:rsidRPr="009E1A71">
              <w:rPr>
                <w:rFonts w:eastAsia="Consolas"/>
                <w:color w:val="auto"/>
                <w:lang w:eastAsia="en-US"/>
              </w:rPr>
              <w:t xml:space="preserve"> в целях создания максимального удобства по предоставлению деклараций в электронном виде. Разработка мобильных приложений.                          </w:t>
            </w:r>
          </w:p>
        </w:tc>
        <w:tc>
          <w:tcPr>
            <w:tcW w:w="4678" w:type="dxa"/>
          </w:tcPr>
          <w:p w:rsidR="006E3A9B" w:rsidRPr="009E1A71" w:rsidRDefault="006E3A9B" w:rsidP="006E3A9B">
            <w:pPr>
              <w:widowControl w:val="0"/>
              <w:tabs>
                <w:tab w:val="right" w:pos="0"/>
              </w:tabs>
              <w:spacing w:after="0" w:line="240" w:lineRule="auto"/>
              <w:jc w:val="both"/>
              <w:rPr>
                <w:rFonts w:ascii="Times New Roman" w:hAnsi="Times New Roman" w:cs="Times New Roman"/>
                <w:kern w:val="24"/>
                <w:sz w:val="24"/>
                <w:szCs w:val="24"/>
                <w:lang w:val="ru-RU"/>
              </w:rPr>
            </w:pPr>
            <w:r w:rsidRPr="009E1A71">
              <w:rPr>
                <w:rFonts w:ascii="Times New Roman" w:hAnsi="Times New Roman" w:cs="Times New Roman"/>
                <w:kern w:val="24"/>
                <w:sz w:val="24"/>
                <w:szCs w:val="24"/>
                <w:lang w:val="ru-RU"/>
              </w:rPr>
              <w:lastRenderedPageBreak/>
              <w:t xml:space="preserve">Прием налоговой отчетности осуществляется на альтернативной основе через 317 Центров обслуживания населения (ЦОН), в том числе 9 «цифровых» (в Астане, Алматы, Шымкенте, </w:t>
            </w:r>
            <w:proofErr w:type="spellStart"/>
            <w:r w:rsidRPr="009E1A71">
              <w:rPr>
                <w:rFonts w:ascii="Times New Roman" w:hAnsi="Times New Roman" w:cs="Times New Roman"/>
                <w:kern w:val="24"/>
                <w:sz w:val="24"/>
                <w:szCs w:val="24"/>
                <w:lang w:val="ru-RU"/>
              </w:rPr>
              <w:t>Костанае</w:t>
            </w:r>
            <w:proofErr w:type="spellEnd"/>
            <w:r w:rsidRPr="009E1A71">
              <w:rPr>
                <w:rFonts w:ascii="Times New Roman" w:hAnsi="Times New Roman" w:cs="Times New Roman"/>
                <w:kern w:val="24"/>
                <w:sz w:val="24"/>
                <w:szCs w:val="24"/>
                <w:lang w:val="ru-RU"/>
              </w:rPr>
              <w:t xml:space="preserve">, Кокшетау, </w:t>
            </w:r>
            <w:proofErr w:type="spellStart"/>
            <w:r w:rsidRPr="009E1A71">
              <w:rPr>
                <w:rFonts w:ascii="Times New Roman" w:hAnsi="Times New Roman" w:cs="Times New Roman"/>
                <w:kern w:val="24"/>
                <w:sz w:val="24"/>
                <w:szCs w:val="24"/>
                <w:lang w:val="ru-RU"/>
              </w:rPr>
              <w:t>Кызылорде</w:t>
            </w:r>
            <w:proofErr w:type="spellEnd"/>
            <w:r w:rsidRPr="009E1A71">
              <w:rPr>
                <w:rFonts w:ascii="Times New Roman" w:hAnsi="Times New Roman" w:cs="Times New Roman"/>
                <w:kern w:val="24"/>
                <w:sz w:val="24"/>
                <w:szCs w:val="24"/>
                <w:lang w:val="ru-RU"/>
              </w:rPr>
              <w:t xml:space="preserve">, Атырау, Павлодаре, </w:t>
            </w:r>
            <w:proofErr w:type="spellStart"/>
            <w:r w:rsidRPr="009E1A71">
              <w:rPr>
                <w:rFonts w:ascii="Times New Roman" w:hAnsi="Times New Roman" w:cs="Times New Roman"/>
                <w:kern w:val="24"/>
                <w:sz w:val="24"/>
                <w:szCs w:val="24"/>
                <w:lang w:val="ru-RU"/>
              </w:rPr>
              <w:lastRenderedPageBreak/>
              <w:t>Талдыкоргане</w:t>
            </w:r>
            <w:proofErr w:type="spellEnd"/>
            <w:r w:rsidRPr="009E1A71">
              <w:rPr>
                <w:rFonts w:ascii="Times New Roman" w:hAnsi="Times New Roman" w:cs="Times New Roman"/>
                <w:kern w:val="24"/>
                <w:sz w:val="24"/>
                <w:szCs w:val="24"/>
                <w:lang w:val="ru-RU"/>
              </w:rPr>
              <w:t>) и 70 мобильных ЦОН-в Государственной корпорации.</w:t>
            </w:r>
          </w:p>
          <w:p w:rsidR="006E3A9B" w:rsidRPr="009E1A71" w:rsidRDefault="006E3A9B" w:rsidP="006E3A9B">
            <w:pPr>
              <w:widowControl w:val="0"/>
              <w:tabs>
                <w:tab w:val="right" w:pos="0"/>
              </w:tabs>
              <w:spacing w:after="0" w:line="240" w:lineRule="auto"/>
              <w:jc w:val="both"/>
              <w:rPr>
                <w:rFonts w:ascii="Times New Roman" w:hAnsi="Times New Roman" w:cs="Times New Roman"/>
                <w:kern w:val="24"/>
                <w:sz w:val="24"/>
                <w:szCs w:val="24"/>
                <w:lang w:val="ru-RU"/>
              </w:rPr>
            </w:pPr>
            <w:r w:rsidRPr="009E1A71">
              <w:rPr>
                <w:rFonts w:ascii="Times New Roman" w:hAnsi="Times New Roman" w:cs="Times New Roman"/>
                <w:kern w:val="24"/>
                <w:sz w:val="24"/>
                <w:szCs w:val="24"/>
                <w:lang w:val="ru-RU"/>
              </w:rPr>
              <w:t xml:space="preserve">В 104 ЦОН-ах </w:t>
            </w:r>
            <w:proofErr w:type="spellStart"/>
            <w:r w:rsidRPr="009E1A71">
              <w:rPr>
                <w:rFonts w:ascii="Times New Roman" w:hAnsi="Times New Roman" w:cs="Times New Roman"/>
                <w:kern w:val="24"/>
                <w:sz w:val="24"/>
                <w:szCs w:val="24"/>
                <w:lang w:val="ru-RU"/>
              </w:rPr>
              <w:t>Госкорпорации</w:t>
            </w:r>
            <w:proofErr w:type="spellEnd"/>
            <w:r w:rsidRPr="009E1A71">
              <w:rPr>
                <w:rFonts w:ascii="Times New Roman" w:hAnsi="Times New Roman" w:cs="Times New Roman"/>
                <w:kern w:val="24"/>
                <w:sz w:val="24"/>
                <w:szCs w:val="24"/>
                <w:lang w:val="ru-RU"/>
              </w:rPr>
              <w:t xml:space="preserve"> на 60% увеличены рабочие места в секторах самообслуживания «</w:t>
            </w:r>
            <w:proofErr w:type="spellStart"/>
            <w:r w:rsidRPr="009E1A71">
              <w:rPr>
                <w:rFonts w:ascii="Times New Roman" w:hAnsi="Times New Roman" w:cs="Times New Roman"/>
                <w:kern w:val="24"/>
                <w:sz w:val="24"/>
                <w:szCs w:val="24"/>
                <w:lang w:val="ru-RU"/>
              </w:rPr>
              <w:t>Connection</w:t>
            </w:r>
            <w:proofErr w:type="spellEnd"/>
            <w:r w:rsidRPr="009E1A71">
              <w:rPr>
                <w:rFonts w:ascii="Times New Roman" w:hAnsi="Times New Roman" w:cs="Times New Roman"/>
                <w:kern w:val="24"/>
                <w:sz w:val="24"/>
                <w:szCs w:val="24"/>
                <w:lang w:val="ru-RU"/>
              </w:rPr>
              <w:t xml:space="preserve"> </w:t>
            </w:r>
            <w:proofErr w:type="spellStart"/>
            <w:r w:rsidRPr="009E1A71">
              <w:rPr>
                <w:rFonts w:ascii="Times New Roman" w:hAnsi="Times New Roman" w:cs="Times New Roman"/>
                <w:kern w:val="24"/>
                <w:sz w:val="24"/>
                <w:szCs w:val="24"/>
                <w:lang w:val="ru-RU"/>
              </w:rPr>
              <w:t>point</w:t>
            </w:r>
            <w:proofErr w:type="spellEnd"/>
            <w:r w:rsidRPr="009E1A71">
              <w:rPr>
                <w:rFonts w:ascii="Times New Roman" w:hAnsi="Times New Roman" w:cs="Times New Roman"/>
                <w:kern w:val="24"/>
                <w:sz w:val="24"/>
                <w:szCs w:val="24"/>
                <w:lang w:val="ru-RU"/>
              </w:rPr>
              <w:t xml:space="preserve">». Создана База знаний по вопросам сдачи с 2020 года деклараций физическими лицами для предоставления консультаций Единым </w:t>
            </w:r>
            <w:proofErr w:type="gramStart"/>
            <w:r w:rsidRPr="009E1A71">
              <w:rPr>
                <w:rFonts w:ascii="Times New Roman" w:hAnsi="Times New Roman" w:cs="Times New Roman"/>
                <w:kern w:val="24"/>
                <w:sz w:val="24"/>
                <w:szCs w:val="24"/>
                <w:lang w:val="ru-RU"/>
              </w:rPr>
              <w:t>контакт-центром</w:t>
            </w:r>
            <w:proofErr w:type="gramEnd"/>
            <w:r w:rsidRPr="009E1A71">
              <w:rPr>
                <w:rFonts w:ascii="Times New Roman" w:hAnsi="Times New Roman" w:cs="Times New Roman"/>
                <w:kern w:val="24"/>
                <w:sz w:val="24"/>
                <w:szCs w:val="24"/>
                <w:lang w:val="ru-RU"/>
              </w:rPr>
              <w:t xml:space="preserve"> (ЕКЦ) «1414». Обучено 99 операторов ЕКЦ,  которыми обработано 381 обращений физических лиц по вопросам перехода к всеобщему декларированию.</w:t>
            </w:r>
          </w:p>
          <w:p w:rsidR="006E3A9B" w:rsidRPr="009E1A71" w:rsidRDefault="006E3A9B" w:rsidP="006E3A9B">
            <w:pPr>
              <w:widowControl w:val="0"/>
              <w:tabs>
                <w:tab w:val="right" w:pos="0"/>
              </w:tabs>
              <w:spacing w:after="0" w:line="240" w:lineRule="auto"/>
              <w:jc w:val="both"/>
              <w:rPr>
                <w:rFonts w:ascii="Times New Roman" w:hAnsi="Times New Roman" w:cs="Times New Roman"/>
                <w:kern w:val="24"/>
                <w:sz w:val="24"/>
                <w:szCs w:val="24"/>
                <w:lang w:val="ru-RU"/>
              </w:rPr>
            </w:pPr>
            <w:proofErr w:type="gramStart"/>
            <w:r w:rsidRPr="009E1A71">
              <w:rPr>
                <w:rFonts w:ascii="Times New Roman" w:hAnsi="Times New Roman" w:cs="Times New Roman"/>
                <w:kern w:val="24"/>
                <w:sz w:val="24"/>
                <w:szCs w:val="24"/>
                <w:lang w:val="ru-RU"/>
              </w:rPr>
              <w:t xml:space="preserve">Проведена информационная компания среди населения по введению всеобщего декларирования (опубликовано более 300 материалов (на республиканских каналах –88 сюжета, печатных изданиях – 34 материалов, на </w:t>
            </w:r>
            <w:proofErr w:type="spellStart"/>
            <w:r w:rsidRPr="009E1A71">
              <w:rPr>
                <w:rFonts w:ascii="Times New Roman" w:hAnsi="Times New Roman" w:cs="Times New Roman"/>
                <w:kern w:val="24"/>
                <w:sz w:val="24"/>
                <w:szCs w:val="24"/>
                <w:lang w:val="ru-RU"/>
              </w:rPr>
              <w:t>интернет-ресурсах</w:t>
            </w:r>
            <w:proofErr w:type="spellEnd"/>
            <w:r w:rsidRPr="009E1A71">
              <w:rPr>
                <w:rFonts w:ascii="Times New Roman" w:hAnsi="Times New Roman" w:cs="Times New Roman"/>
                <w:kern w:val="24"/>
                <w:sz w:val="24"/>
                <w:szCs w:val="24"/>
                <w:lang w:val="ru-RU"/>
              </w:rPr>
              <w:t xml:space="preserve"> – 98 публикаций, в региональных СМИ – 146 материалов).</w:t>
            </w:r>
            <w:proofErr w:type="gramEnd"/>
          </w:p>
          <w:p w:rsidR="00192A27" w:rsidRPr="009E1A71" w:rsidRDefault="00192A27" w:rsidP="00192A27">
            <w:pPr>
              <w:spacing w:after="0" w:line="240" w:lineRule="auto"/>
              <w:jc w:val="both"/>
              <w:rPr>
                <w:rFonts w:ascii="Times New Roman" w:hAnsi="Times New Roman" w:cs="Times New Roman"/>
                <w:kern w:val="24"/>
                <w:sz w:val="24"/>
                <w:szCs w:val="24"/>
                <w:lang w:val="ru-RU"/>
              </w:rPr>
            </w:pPr>
            <w:r w:rsidRPr="009E1A71">
              <w:rPr>
                <w:rFonts w:ascii="Times New Roman" w:hAnsi="Times New Roman" w:cs="Times New Roman"/>
                <w:kern w:val="24"/>
                <w:sz w:val="24"/>
                <w:szCs w:val="24"/>
                <w:lang w:val="ru-RU"/>
              </w:rPr>
              <w:t xml:space="preserve"> На сегодняшний день на «Портале электронного правительства» E-</w:t>
            </w:r>
            <w:proofErr w:type="spellStart"/>
            <w:r w:rsidRPr="009E1A71">
              <w:rPr>
                <w:rFonts w:ascii="Times New Roman" w:hAnsi="Times New Roman" w:cs="Times New Roman"/>
                <w:kern w:val="24"/>
                <w:sz w:val="24"/>
                <w:szCs w:val="24"/>
                <w:lang w:val="ru-RU"/>
              </w:rPr>
              <w:t>gov</w:t>
            </w:r>
            <w:proofErr w:type="spellEnd"/>
            <w:r w:rsidRPr="009E1A71">
              <w:rPr>
                <w:rFonts w:ascii="Times New Roman" w:hAnsi="Times New Roman" w:cs="Times New Roman"/>
                <w:kern w:val="24"/>
                <w:sz w:val="24"/>
                <w:szCs w:val="24"/>
                <w:lang w:val="ru-RU"/>
              </w:rPr>
              <w:t xml:space="preserve"> разработан функционал по представлению предварительно заполненной Декларации о доходах и имуществе физических лиц.  </w:t>
            </w:r>
          </w:p>
          <w:p w:rsidR="00590B8B" w:rsidRPr="009E1A71" w:rsidRDefault="00192A27" w:rsidP="00192A27">
            <w:pPr>
              <w:spacing w:after="0" w:line="240" w:lineRule="auto"/>
              <w:jc w:val="both"/>
              <w:rPr>
                <w:rFonts w:ascii="Times New Roman" w:hAnsi="Times New Roman" w:cs="Times New Roman"/>
                <w:kern w:val="24"/>
                <w:sz w:val="24"/>
                <w:szCs w:val="24"/>
                <w:lang w:val="ru-RU"/>
              </w:rPr>
            </w:pPr>
            <w:r w:rsidRPr="009E1A71">
              <w:rPr>
                <w:rFonts w:ascii="Times New Roman" w:hAnsi="Times New Roman" w:cs="Times New Roman"/>
                <w:kern w:val="24"/>
                <w:sz w:val="24"/>
                <w:szCs w:val="24"/>
                <w:lang w:val="ru-RU"/>
              </w:rPr>
              <w:t>Кроме того, бизнес сообществом разрабатываются альтернативные мобильные версии (API).</w:t>
            </w:r>
          </w:p>
        </w:tc>
        <w:tc>
          <w:tcPr>
            <w:tcW w:w="1417" w:type="dxa"/>
            <w:tcBorders>
              <w:right w:val="single" w:sz="4" w:space="0" w:color="auto"/>
            </w:tcBorders>
          </w:tcPr>
          <w:p w:rsidR="00590B8B" w:rsidRPr="009E1A71" w:rsidRDefault="002B333B" w:rsidP="005C4F0D">
            <w:pPr>
              <w:spacing w:after="0" w:line="240" w:lineRule="auto"/>
              <w:rPr>
                <w:rFonts w:ascii="Times New Roman" w:hAnsi="Times New Roman" w:cs="Times New Roman"/>
                <w:sz w:val="24"/>
                <w:szCs w:val="24"/>
                <w:lang w:val="ru-RU"/>
              </w:rPr>
            </w:pPr>
            <w:r w:rsidRPr="009E1A71">
              <w:rPr>
                <w:rFonts w:ascii="Times New Roman" w:hAnsi="Times New Roman" w:cs="Times New Roman"/>
                <w:sz w:val="24"/>
                <w:szCs w:val="24"/>
                <w:lang w:val="ru-RU"/>
              </w:rPr>
              <w:lastRenderedPageBreak/>
              <w:t>Исполнено</w:t>
            </w:r>
          </w:p>
        </w:tc>
      </w:tr>
      <w:tr w:rsidR="00590B8B" w:rsidRPr="009E1A71" w:rsidTr="007A26E0">
        <w:trPr>
          <w:trHeight w:val="30"/>
        </w:trPr>
        <w:tc>
          <w:tcPr>
            <w:tcW w:w="1696" w:type="dxa"/>
          </w:tcPr>
          <w:p w:rsidR="00590B8B" w:rsidRPr="009E1A71" w:rsidRDefault="00590B8B" w:rsidP="00436D3F">
            <w:pPr>
              <w:pStyle w:val="ac"/>
              <w:jc w:val="both"/>
              <w:rPr>
                <w:rFonts w:eastAsia="Consolas"/>
                <w:color w:val="auto"/>
                <w:lang w:eastAsia="en-US"/>
              </w:rPr>
            </w:pPr>
            <w:r w:rsidRPr="009E1A71">
              <w:rPr>
                <w:rFonts w:eastAsia="Consolas"/>
                <w:color w:val="auto"/>
                <w:lang w:eastAsia="en-US"/>
              </w:rPr>
              <w:lastRenderedPageBreak/>
              <w:t>Увеличение количества профилей риска, утверждение которых было связано с внедрением электронного декларирования</w:t>
            </w:r>
          </w:p>
        </w:tc>
        <w:tc>
          <w:tcPr>
            <w:tcW w:w="2665" w:type="dxa"/>
          </w:tcPr>
          <w:p w:rsidR="00590B8B" w:rsidRPr="009E1A71" w:rsidRDefault="00590B8B" w:rsidP="00436D3F">
            <w:pPr>
              <w:pStyle w:val="ac"/>
              <w:jc w:val="both"/>
              <w:rPr>
                <w:rFonts w:eastAsia="Consolas"/>
                <w:color w:val="auto"/>
                <w:lang w:eastAsia="en-US"/>
              </w:rPr>
            </w:pPr>
            <w:r w:rsidRPr="009E1A71">
              <w:rPr>
                <w:rFonts w:eastAsia="Consolas"/>
                <w:color w:val="auto"/>
                <w:lang w:eastAsia="en-US"/>
              </w:rPr>
              <w:t xml:space="preserve">Актуализация профилей рисков, кроме того использование информационных систем </w:t>
            </w:r>
            <w:proofErr w:type="gramStart"/>
            <w:r w:rsidRPr="009E1A71">
              <w:rPr>
                <w:rFonts w:eastAsia="Consolas"/>
                <w:color w:val="auto"/>
                <w:lang w:eastAsia="en-US"/>
              </w:rPr>
              <w:t>при</w:t>
            </w:r>
            <w:proofErr w:type="gramEnd"/>
            <w:r w:rsidRPr="009E1A71">
              <w:rPr>
                <w:rFonts w:eastAsia="Consolas"/>
                <w:color w:val="auto"/>
                <w:lang w:eastAsia="en-US"/>
              </w:rPr>
              <w:t xml:space="preserve"> профилирований рисков</w:t>
            </w:r>
          </w:p>
        </w:tc>
        <w:tc>
          <w:tcPr>
            <w:tcW w:w="4678" w:type="dxa"/>
          </w:tcPr>
          <w:p w:rsidR="002B333B" w:rsidRPr="009E1A71" w:rsidRDefault="002B333B" w:rsidP="002B333B">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На постоянной основе проводится анализ эффективности таможенной СУР, на основе которого проводится актуализация  профилей рисков путем внесения изменений или отмены профилей рисков.</w:t>
            </w:r>
          </w:p>
          <w:p w:rsidR="002B333B" w:rsidRPr="009E1A71" w:rsidRDefault="002B333B" w:rsidP="002B333B">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Актуализировано:</w:t>
            </w:r>
          </w:p>
          <w:p w:rsidR="002B333B" w:rsidRPr="009E1A71" w:rsidRDefault="002B333B" w:rsidP="002B333B">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 путем отмены 50 профилей риска;</w:t>
            </w:r>
          </w:p>
          <w:p w:rsidR="002B333B" w:rsidRPr="009E1A71" w:rsidRDefault="002B333B" w:rsidP="002B333B">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 путем внесения изменений 86 профилей риска.</w:t>
            </w:r>
          </w:p>
          <w:p w:rsidR="00590B8B" w:rsidRPr="009E1A71" w:rsidRDefault="002B333B" w:rsidP="002B333B">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По всем автоматизированным профилям риска проведены соответствующие настройки в информационной системе, неавтоматизированные профили риска направлены в территориальные органы государственных доходов для использования в работе.</w:t>
            </w:r>
          </w:p>
        </w:tc>
        <w:tc>
          <w:tcPr>
            <w:tcW w:w="1417" w:type="dxa"/>
          </w:tcPr>
          <w:p w:rsidR="00590B8B" w:rsidRPr="009E1A71" w:rsidRDefault="002B333B" w:rsidP="005C4F0D">
            <w:pPr>
              <w:spacing w:after="0" w:line="240" w:lineRule="auto"/>
              <w:rPr>
                <w:rFonts w:ascii="Times New Roman" w:hAnsi="Times New Roman" w:cs="Times New Roman"/>
                <w:sz w:val="24"/>
                <w:szCs w:val="24"/>
                <w:lang w:val="ru-RU"/>
              </w:rPr>
            </w:pPr>
            <w:r w:rsidRPr="009E1A71">
              <w:rPr>
                <w:rFonts w:ascii="Times New Roman" w:hAnsi="Times New Roman" w:cs="Times New Roman"/>
                <w:sz w:val="24"/>
                <w:szCs w:val="24"/>
                <w:lang w:val="ru-RU"/>
              </w:rPr>
              <w:t>Исполнено</w:t>
            </w:r>
          </w:p>
        </w:tc>
      </w:tr>
      <w:tr w:rsidR="009C4891" w:rsidRPr="009E1A71" w:rsidTr="007A26E0">
        <w:trPr>
          <w:trHeight w:val="30"/>
        </w:trPr>
        <w:tc>
          <w:tcPr>
            <w:tcW w:w="1696" w:type="dxa"/>
          </w:tcPr>
          <w:p w:rsidR="009C4891" w:rsidRPr="009E1A71" w:rsidRDefault="009C4891" w:rsidP="00436D3F">
            <w:pPr>
              <w:pStyle w:val="ac"/>
              <w:jc w:val="both"/>
              <w:rPr>
                <w:rFonts w:eastAsia="Consolas"/>
                <w:color w:val="auto"/>
                <w:lang w:eastAsia="en-US"/>
              </w:rPr>
            </w:pPr>
            <w:r w:rsidRPr="009E1A71">
              <w:rPr>
                <w:rFonts w:eastAsia="Consolas"/>
                <w:color w:val="auto"/>
                <w:lang w:eastAsia="en-US"/>
              </w:rPr>
              <w:t>Высокая доля наличного оборота</w:t>
            </w:r>
          </w:p>
        </w:tc>
        <w:tc>
          <w:tcPr>
            <w:tcW w:w="2665" w:type="dxa"/>
            <w:vMerge w:val="restart"/>
          </w:tcPr>
          <w:p w:rsidR="009C4891" w:rsidRPr="009E1A71" w:rsidRDefault="009C4891" w:rsidP="00436D3F">
            <w:pPr>
              <w:pStyle w:val="ac"/>
              <w:ind w:right="34"/>
              <w:jc w:val="both"/>
              <w:rPr>
                <w:rFonts w:eastAsia="Consolas"/>
                <w:color w:val="auto"/>
                <w:lang w:eastAsia="en-US"/>
              </w:rPr>
            </w:pPr>
            <w:r w:rsidRPr="009E1A71">
              <w:rPr>
                <w:sz w:val="28"/>
                <w:szCs w:val="28"/>
              </w:rPr>
              <w:t>1.</w:t>
            </w:r>
            <w:r w:rsidRPr="009E1A71">
              <w:rPr>
                <w:szCs w:val="28"/>
              </w:rPr>
              <w:t>Вн</w:t>
            </w:r>
            <w:r w:rsidRPr="009E1A71">
              <w:rPr>
                <w:rFonts w:eastAsia="Consolas"/>
                <w:color w:val="auto"/>
                <w:lang w:eastAsia="en-US"/>
              </w:rPr>
              <w:t>едрение онлайн серверов оплаты и мониторинга платежей (ЭСФ, Онлайн ККМ и т.д.)</w:t>
            </w:r>
          </w:p>
          <w:p w:rsidR="009C4891" w:rsidRPr="009E1A71" w:rsidRDefault="009C4891" w:rsidP="00436D3F">
            <w:pPr>
              <w:pStyle w:val="ac"/>
              <w:ind w:right="34"/>
              <w:jc w:val="both"/>
              <w:rPr>
                <w:rFonts w:eastAsia="Consolas"/>
                <w:color w:val="auto"/>
                <w:lang w:eastAsia="en-US"/>
              </w:rPr>
            </w:pPr>
            <w:r w:rsidRPr="009E1A71">
              <w:rPr>
                <w:rFonts w:eastAsia="Consolas"/>
                <w:color w:val="auto"/>
                <w:lang w:eastAsia="en-US"/>
              </w:rPr>
              <w:t xml:space="preserve">2.Внедрение </w:t>
            </w:r>
            <w:r w:rsidRPr="009E1A71">
              <w:rPr>
                <w:rFonts w:eastAsia="Consolas"/>
                <w:color w:val="auto"/>
                <w:lang w:eastAsia="en-US"/>
              </w:rPr>
              <w:lastRenderedPageBreak/>
              <w:t xml:space="preserve">специального контрольного  НДС счета </w:t>
            </w:r>
          </w:p>
          <w:p w:rsidR="009C4891" w:rsidRPr="009E1A71" w:rsidRDefault="009C4891" w:rsidP="00436D3F">
            <w:pPr>
              <w:pStyle w:val="ac"/>
              <w:ind w:right="34"/>
              <w:jc w:val="both"/>
            </w:pPr>
            <w:r w:rsidRPr="009E1A71">
              <w:rPr>
                <w:rFonts w:eastAsia="Consolas"/>
                <w:color w:val="auto"/>
                <w:lang w:eastAsia="en-US"/>
              </w:rPr>
              <w:t>3.Расширение функционала работы ИС ЭСФ</w:t>
            </w:r>
          </w:p>
        </w:tc>
        <w:tc>
          <w:tcPr>
            <w:tcW w:w="4678" w:type="dxa"/>
            <w:vMerge w:val="restart"/>
          </w:tcPr>
          <w:p w:rsidR="00511FEF" w:rsidRPr="009E1A71" w:rsidRDefault="00511FEF" w:rsidP="00511FEF">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lastRenderedPageBreak/>
              <w:t xml:space="preserve">С 1 декабря 2018 года запущен пилот модуля «Виртуальный склад» ИС ЭСФ в отношении налогоплательщиков, реализующих каменный </w:t>
            </w:r>
            <w:r w:rsidR="00C87B93" w:rsidRPr="009E1A71">
              <w:rPr>
                <w:rFonts w:ascii="Times New Roman" w:hAnsi="Times New Roman" w:cs="Times New Roman"/>
                <w:sz w:val="24"/>
                <w:szCs w:val="24"/>
                <w:lang w:val="ru-RU"/>
              </w:rPr>
              <w:t xml:space="preserve">уголь </w:t>
            </w:r>
            <w:r w:rsidRPr="009E1A71">
              <w:rPr>
                <w:rFonts w:ascii="Times New Roman" w:hAnsi="Times New Roman" w:cs="Times New Roman"/>
                <w:sz w:val="24"/>
                <w:szCs w:val="24"/>
                <w:lang w:val="ru-RU"/>
              </w:rPr>
              <w:t>на добровольной основе</w:t>
            </w:r>
            <w:r w:rsidR="008C6741" w:rsidRPr="009E1A71">
              <w:rPr>
                <w:rFonts w:ascii="Times New Roman" w:hAnsi="Times New Roman" w:cs="Times New Roman"/>
                <w:sz w:val="24"/>
                <w:szCs w:val="24"/>
                <w:lang w:val="ru-RU"/>
              </w:rPr>
              <w:t xml:space="preserve">, в результате по 3 </w:t>
            </w:r>
            <w:r w:rsidRPr="009E1A71">
              <w:rPr>
                <w:rFonts w:ascii="Times New Roman" w:hAnsi="Times New Roman" w:cs="Times New Roman"/>
                <w:sz w:val="24"/>
                <w:szCs w:val="24"/>
                <w:lang w:val="ru-RU"/>
              </w:rPr>
              <w:t>налогоплательщика</w:t>
            </w:r>
            <w:r w:rsidR="008C6741" w:rsidRPr="009E1A71">
              <w:rPr>
                <w:rFonts w:ascii="Times New Roman" w:hAnsi="Times New Roman" w:cs="Times New Roman"/>
                <w:sz w:val="24"/>
                <w:szCs w:val="24"/>
                <w:lang w:val="ru-RU"/>
              </w:rPr>
              <w:t>м, о</w:t>
            </w:r>
            <w:r w:rsidRPr="009E1A71">
              <w:rPr>
                <w:rFonts w:ascii="Times New Roman" w:hAnsi="Times New Roman" w:cs="Times New Roman"/>
                <w:sz w:val="24"/>
                <w:szCs w:val="24"/>
                <w:lang w:val="ru-RU"/>
              </w:rPr>
              <w:t xml:space="preserve">существляющие </w:t>
            </w:r>
            <w:r w:rsidRPr="009E1A71">
              <w:rPr>
                <w:rFonts w:ascii="Times New Roman" w:hAnsi="Times New Roman" w:cs="Times New Roman"/>
                <w:sz w:val="24"/>
                <w:szCs w:val="24"/>
                <w:lang w:val="ru-RU"/>
              </w:rPr>
              <w:lastRenderedPageBreak/>
              <w:t>добычу каменного угля - «</w:t>
            </w:r>
            <w:proofErr w:type="spellStart"/>
            <w:r w:rsidRPr="009E1A71">
              <w:rPr>
                <w:rFonts w:ascii="Times New Roman" w:hAnsi="Times New Roman" w:cs="Times New Roman"/>
                <w:sz w:val="24"/>
                <w:szCs w:val="24"/>
                <w:lang w:val="ru-RU"/>
              </w:rPr>
              <w:t>Шубарколь</w:t>
            </w:r>
            <w:proofErr w:type="spellEnd"/>
            <w:r w:rsidRPr="009E1A71">
              <w:rPr>
                <w:rFonts w:ascii="Times New Roman" w:hAnsi="Times New Roman" w:cs="Times New Roman"/>
                <w:sz w:val="24"/>
                <w:szCs w:val="24"/>
                <w:lang w:val="ru-RU"/>
              </w:rPr>
              <w:t xml:space="preserve"> </w:t>
            </w:r>
            <w:proofErr w:type="spellStart"/>
            <w:r w:rsidRPr="009E1A71">
              <w:rPr>
                <w:rFonts w:ascii="Times New Roman" w:hAnsi="Times New Roman" w:cs="Times New Roman"/>
                <w:sz w:val="24"/>
                <w:szCs w:val="24"/>
                <w:lang w:val="ru-RU"/>
              </w:rPr>
              <w:t>комир</w:t>
            </w:r>
            <w:proofErr w:type="spellEnd"/>
            <w:r w:rsidRPr="009E1A71">
              <w:rPr>
                <w:rFonts w:ascii="Times New Roman" w:hAnsi="Times New Roman" w:cs="Times New Roman"/>
                <w:sz w:val="24"/>
                <w:szCs w:val="24"/>
                <w:lang w:val="ru-RU"/>
              </w:rPr>
              <w:t>», ТОО «</w:t>
            </w:r>
            <w:proofErr w:type="spellStart"/>
            <w:r w:rsidRPr="009E1A71">
              <w:rPr>
                <w:rFonts w:ascii="Times New Roman" w:hAnsi="Times New Roman" w:cs="Times New Roman"/>
                <w:sz w:val="24"/>
                <w:szCs w:val="24"/>
                <w:lang w:val="ru-RU"/>
              </w:rPr>
              <w:t>Майкубен</w:t>
            </w:r>
            <w:proofErr w:type="spellEnd"/>
            <w:r w:rsidRPr="009E1A71">
              <w:rPr>
                <w:rFonts w:ascii="Times New Roman" w:hAnsi="Times New Roman" w:cs="Times New Roman"/>
                <w:sz w:val="24"/>
                <w:szCs w:val="24"/>
                <w:lang w:val="ru-RU"/>
              </w:rPr>
              <w:t xml:space="preserve">-Вест», трейдер ИП «Бек-Айда», 12,9 </w:t>
            </w:r>
            <w:proofErr w:type="spellStart"/>
            <w:r w:rsidRPr="009E1A71">
              <w:rPr>
                <w:rFonts w:ascii="Times New Roman" w:hAnsi="Times New Roman" w:cs="Times New Roman"/>
                <w:sz w:val="24"/>
                <w:szCs w:val="24"/>
                <w:lang w:val="ru-RU"/>
              </w:rPr>
              <w:t>тыс</w:t>
            </w:r>
            <w:proofErr w:type="gramStart"/>
            <w:r w:rsidRPr="009E1A71">
              <w:rPr>
                <w:rFonts w:ascii="Times New Roman" w:hAnsi="Times New Roman" w:cs="Times New Roman"/>
                <w:sz w:val="24"/>
                <w:szCs w:val="24"/>
                <w:lang w:val="ru-RU"/>
              </w:rPr>
              <w:t>.т</w:t>
            </w:r>
            <w:proofErr w:type="gramEnd"/>
            <w:r w:rsidRPr="009E1A71">
              <w:rPr>
                <w:rFonts w:ascii="Times New Roman" w:hAnsi="Times New Roman" w:cs="Times New Roman"/>
                <w:sz w:val="24"/>
                <w:szCs w:val="24"/>
                <w:lang w:val="ru-RU"/>
              </w:rPr>
              <w:t>онн</w:t>
            </w:r>
            <w:proofErr w:type="spellEnd"/>
            <w:r w:rsidRPr="009E1A71">
              <w:rPr>
                <w:rFonts w:ascii="Times New Roman" w:hAnsi="Times New Roman" w:cs="Times New Roman"/>
                <w:sz w:val="24"/>
                <w:szCs w:val="24"/>
                <w:lang w:val="ru-RU"/>
              </w:rPr>
              <w:t xml:space="preserve"> реализованы посредством ЭСФ.</w:t>
            </w:r>
          </w:p>
          <w:p w:rsidR="008C6741" w:rsidRPr="009E1A71" w:rsidRDefault="00511FEF" w:rsidP="008C6741">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Общее количество ККМ по состоянию на 10.01.2019 года составляет 593 389, из них онлайн ККМ 211 035, удельный вес 35,56%.                                                                                                                                                                                                       В целях поэтапного внедрения онлайн ККМ утвержден Приказ МФ РК №758 от 16.08.2018 года, который предусматривает расш</w:t>
            </w:r>
            <w:r w:rsidR="008C6741" w:rsidRPr="009E1A71">
              <w:rPr>
                <w:rFonts w:ascii="Times New Roman" w:hAnsi="Times New Roman" w:cs="Times New Roman"/>
                <w:sz w:val="24"/>
                <w:szCs w:val="24"/>
                <w:lang w:val="ru-RU"/>
              </w:rPr>
              <w:t>ирение на 17 видов деятельности.</w:t>
            </w:r>
          </w:p>
          <w:p w:rsidR="009C4891" w:rsidRPr="009E1A71" w:rsidRDefault="009C4891" w:rsidP="008C6741">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ИС «</w:t>
            </w:r>
            <w:proofErr w:type="gramStart"/>
            <w:r w:rsidRPr="009E1A71">
              <w:rPr>
                <w:rFonts w:ascii="Times New Roman" w:hAnsi="Times New Roman" w:cs="Times New Roman"/>
                <w:sz w:val="24"/>
                <w:szCs w:val="24"/>
                <w:lang w:val="ru-RU"/>
              </w:rPr>
              <w:t>НДС</w:t>
            </w:r>
            <w:proofErr w:type="gramEnd"/>
            <w:r w:rsidRPr="009E1A71">
              <w:rPr>
                <w:rFonts w:ascii="Times New Roman" w:hAnsi="Times New Roman" w:cs="Times New Roman"/>
                <w:sz w:val="24"/>
                <w:szCs w:val="24"/>
                <w:lang w:val="ru-RU"/>
              </w:rPr>
              <w:t>-Blockchain» запущена на продуктивных серверах в АО «НИТ» в режиме опытной эксплуатации. На добровольной основе 10 налогоплательщиками открыто 10 КС НДС, в том числе: в АО «Народный банк Казахстана» - 5; АО «Евразийский Банк» -1; АО «</w:t>
            </w:r>
            <w:proofErr w:type="spellStart"/>
            <w:r w:rsidRPr="009E1A71">
              <w:rPr>
                <w:rFonts w:ascii="Times New Roman" w:hAnsi="Times New Roman" w:cs="Times New Roman"/>
                <w:sz w:val="24"/>
                <w:szCs w:val="24"/>
                <w:lang w:val="ru-RU"/>
              </w:rPr>
              <w:t>Цеснабанк</w:t>
            </w:r>
            <w:proofErr w:type="spellEnd"/>
            <w:r w:rsidRPr="009E1A71">
              <w:rPr>
                <w:rFonts w:ascii="Times New Roman" w:hAnsi="Times New Roman" w:cs="Times New Roman"/>
                <w:sz w:val="24"/>
                <w:szCs w:val="24"/>
                <w:lang w:val="ru-RU"/>
              </w:rPr>
              <w:t>» - 2; АО «</w:t>
            </w:r>
            <w:proofErr w:type="spellStart"/>
            <w:r w:rsidRPr="009E1A71">
              <w:rPr>
                <w:rFonts w:ascii="Times New Roman" w:hAnsi="Times New Roman" w:cs="Times New Roman"/>
                <w:sz w:val="24"/>
                <w:szCs w:val="24"/>
                <w:lang w:val="ru-RU"/>
              </w:rPr>
              <w:t>Forte</w:t>
            </w:r>
            <w:proofErr w:type="spellEnd"/>
            <w:r w:rsidRPr="009E1A71">
              <w:rPr>
                <w:rFonts w:ascii="Times New Roman" w:hAnsi="Times New Roman" w:cs="Times New Roman"/>
                <w:sz w:val="24"/>
                <w:szCs w:val="24"/>
                <w:lang w:val="ru-RU"/>
              </w:rPr>
              <w:t xml:space="preserve"> bank»-2 счета.</w:t>
            </w:r>
          </w:p>
        </w:tc>
        <w:tc>
          <w:tcPr>
            <w:tcW w:w="1417" w:type="dxa"/>
            <w:vMerge w:val="restart"/>
          </w:tcPr>
          <w:p w:rsidR="009C4891" w:rsidRPr="009E1A71" w:rsidRDefault="00A22D9E" w:rsidP="005C4F0D">
            <w:pPr>
              <w:spacing w:after="0" w:line="240" w:lineRule="auto"/>
              <w:rPr>
                <w:rFonts w:ascii="Times New Roman" w:hAnsi="Times New Roman" w:cs="Times New Roman"/>
                <w:sz w:val="24"/>
                <w:szCs w:val="24"/>
                <w:lang w:val="ru-RU"/>
              </w:rPr>
            </w:pPr>
            <w:r w:rsidRPr="009E1A71">
              <w:rPr>
                <w:rFonts w:ascii="Times New Roman" w:hAnsi="Times New Roman" w:cs="Times New Roman"/>
                <w:sz w:val="24"/>
                <w:szCs w:val="24"/>
                <w:lang w:val="ru-RU"/>
              </w:rPr>
              <w:lastRenderedPageBreak/>
              <w:t>Исполнено</w:t>
            </w:r>
          </w:p>
        </w:tc>
      </w:tr>
      <w:tr w:rsidR="009C4891" w:rsidRPr="00414260" w:rsidTr="007A26E0">
        <w:trPr>
          <w:trHeight w:val="30"/>
        </w:trPr>
        <w:tc>
          <w:tcPr>
            <w:tcW w:w="1696" w:type="dxa"/>
          </w:tcPr>
          <w:p w:rsidR="009C4891" w:rsidRPr="009E1A71" w:rsidRDefault="009C4891" w:rsidP="00436D3F">
            <w:pPr>
              <w:pStyle w:val="ac"/>
              <w:jc w:val="both"/>
              <w:rPr>
                <w:rFonts w:eastAsia="Consolas"/>
                <w:color w:val="auto"/>
                <w:lang w:eastAsia="en-US"/>
              </w:rPr>
            </w:pPr>
            <w:r w:rsidRPr="009E1A71">
              <w:rPr>
                <w:rFonts w:eastAsia="Consolas"/>
                <w:color w:val="auto"/>
                <w:lang w:eastAsia="en-US"/>
              </w:rPr>
              <w:t xml:space="preserve">Отсутствие прозрачности сделок между </w:t>
            </w:r>
            <w:r w:rsidRPr="009E1A71">
              <w:rPr>
                <w:rFonts w:eastAsia="Consolas"/>
                <w:color w:val="auto"/>
                <w:lang w:eastAsia="en-US"/>
              </w:rPr>
              <w:lastRenderedPageBreak/>
              <w:t>субъектами предприятия</w:t>
            </w:r>
          </w:p>
        </w:tc>
        <w:tc>
          <w:tcPr>
            <w:tcW w:w="2665" w:type="dxa"/>
            <w:vMerge/>
          </w:tcPr>
          <w:p w:rsidR="009C4891" w:rsidRPr="009E1A71" w:rsidRDefault="009C4891" w:rsidP="005C4F0D">
            <w:pPr>
              <w:spacing w:after="0" w:line="240" w:lineRule="auto"/>
              <w:rPr>
                <w:rFonts w:ascii="Times New Roman" w:hAnsi="Times New Roman" w:cs="Times New Roman"/>
                <w:lang w:val="ru-RU"/>
              </w:rPr>
            </w:pPr>
          </w:p>
        </w:tc>
        <w:tc>
          <w:tcPr>
            <w:tcW w:w="4678" w:type="dxa"/>
            <w:vMerge/>
          </w:tcPr>
          <w:p w:rsidR="009C4891" w:rsidRPr="009E1A71" w:rsidRDefault="009C4891" w:rsidP="005C4F0D">
            <w:pPr>
              <w:spacing w:after="0" w:line="240" w:lineRule="auto"/>
              <w:jc w:val="both"/>
              <w:rPr>
                <w:rFonts w:ascii="Times New Roman" w:hAnsi="Times New Roman" w:cs="Times New Roman"/>
                <w:sz w:val="24"/>
                <w:szCs w:val="24"/>
                <w:lang w:val="ru-RU"/>
              </w:rPr>
            </w:pPr>
          </w:p>
        </w:tc>
        <w:tc>
          <w:tcPr>
            <w:tcW w:w="1417" w:type="dxa"/>
            <w:vMerge/>
          </w:tcPr>
          <w:p w:rsidR="009C4891" w:rsidRPr="009E1A71" w:rsidRDefault="009C4891" w:rsidP="005C4F0D">
            <w:pPr>
              <w:spacing w:after="0" w:line="240" w:lineRule="auto"/>
              <w:rPr>
                <w:rFonts w:ascii="Times New Roman" w:hAnsi="Times New Roman" w:cs="Times New Roman"/>
                <w:sz w:val="24"/>
                <w:szCs w:val="24"/>
                <w:lang w:val="ru-RU"/>
              </w:rPr>
            </w:pPr>
          </w:p>
        </w:tc>
      </w:tr>
      <w:tr w:rsidR="00590B8B" w:rsidRPr="009E1A71" w:rsidTr="007A26E0">
        <w:trPr>
          <w:trHeight w:val="30"/>
        </w:trPr>
        <w:tc>
          <w:tcPr>
            <w:tcW w:w="1696" w:type="dxa"/>
          </w:tcPr>
          <w:p w:rsidR="00590B8B" w:rsidRPr="009E1A71" w:rsidRDefault="00590B8B" w:rsidP="00436D3F">
            <w:pPr>
              <w:pStyle w:val="ac"/>
              <w:jc w:val="both"/>
              <w:rPr>
                <w:rFonts w:eastAsia="Consolas"/>
                <w:color w:val="auto"/>
                <w:lang w:eastAsia="en-US"/>
              </w:rPr>
            </w:pPr>
            <w:r w:rsidRPr="009E1A71">
              <w:rPr>
                <w:rFonts w:eastAsia="Consolas"/>
                <w:color w:val="auto"/>
                <w:lang w:eastAsia="en-US"/>
              </w:rPr>
              <w:lastRenderedPageBreak/>
              <w:t>Особенности международных норм уголовного законодательства</w:t>
            </w:r>
            <w:r w:rsidRPr="009E1A71">
              <w:rPr>
                <w:rFonts w:eastAsia="Consolas"/>
                <w:color w:val="auto"/>
                <w:lang w:val="kk-KZ" w:eastAsia="en-US"/>
              </w:rPr>
              <w:t xml:space="preserve"> </w:t>
            </w:r>
            <w:r w:rsidRPr="009E1A71">
              <w:rPr>
                <w:rFonts w:eastAsia="Consolas"/>
                <w:color w:val="auto"/>
                <w:lang w:eastAsia="en-US"/>
              </w:rPr>
              <w:t>(привлечение к уголовной ответственности нерезидентов)</w:t>
            </w:r>
          </w:p>
          <w:p w:rsidR="00590B8B" w:rsidRPr="009E1A71" w:rsidRDefault="00590B8B" w:rsidP="00436D3F">
            <w:pPr>
              <w:spacing w:after="0" w:line="240" w:lineRule="auto"/>
              <w:jc w:val="both"/>
              <w:rPr>
                <w:rFonts w:ascii="Times New Roman" w:hAnsi="Times New Roman"/>
                <w:sz w:val="24"/>
                <w:szCs w:val="24"/>
                <w:lang w:val="ru-RU"/>
              </w:rPr>
            </w:pPr>
          </w:p>
        </w:tc>
        <w:tc>
          <w:tcPr>
            <w:tcW w:w="2665" w:type="dxa"/>
          </w:tcPr>
          <w:p w:rsidR="00590B8B" w:rsidRPr="009E1A71" w:rsidRDefault="00590B8B" w:rsidP="00436D3F">
            <w:pPr>
              <w:pStyle w:val="ac"/>
              <w:jc w:val="both"/>
              <w:rPr>
                <w:rFonts w:eastAsia="Consolas"/>
                <w:color w:val="auto"/>
                <w:lang w:eastAsia="en-US"/>
              </w:rPr>
            </w:pPr>
            <w:r w:rsidRPr="009E1A71">
              <w:rPr>
                <w:sz w:val="28"/>
                <w:szCs w:val="28"/>
              </w:rPr>
              <w:t>1</w:t>
            </w:r>
            <w:r w:rsidRPr="009E1A71">
              <w:rPr>
                <w:rFonts w:eastAsia="Consolas"/>
                <w:color w:val="auto"/>
                <w:lang w:eastAsia="en-US"/>
              </w:rPr>
              <w:t xml:space="preserve">.Выработка новых подходов к реализации возможностей норм Конвенций о правовой помощи по уголовным делам со странами СНГ и Соглашений членов Группы подразделений финансовой разведки «Эгмонт» со странами дальнего зарубежья; </w:t>
            </w:r>
          </w:p>
          <w:p w:rsidR="00590B8B" w:rsidRPr="009E1A71" w:rsidRDefault="00590B8B" w:rsidP="00436D3F">
            <w:pPr>
              <w:pStyle w:val="ac"/>
              <w:ind w:right="-108"/>
              <w:jc w:val="both"/>
              <w:rPr>
                <w:sz w:val="28"/>
                <w:szCs w:val="28"/>
              </w:rPr>
            </w:pPr>
            <w:r w:rsidRPr="009E1A71">
              <w:rPr>
                <w:rFonts w:eastAsia="Consolas"/>
                <w:color w:val="auto"/>
                <w:lang w:eastAsia="en-US"/>
              </w:rPr>
              <w:t>2.Реализация возможностей для получения следственно значимой информации через использование двух- и многосторонних договоров об обмене информацией таможенных и налоговых подразделений</w:t>
            </w:r>
            <w:r w:rsidRPr="009E1A71">
              <w:rPr>
                <w:sz w:val="28"/>
                <w:szCs w:val="28"/>
              </w:rPr>
              <w:t>;</w:t>
            </w:r>
          </w:p>
          <w:p w:rsidR="00590B8B" w:rsidRPr="009E1A71" w:rsidRDefault="00590B8B" w:rsidP="00436D3F">
            <w:pPr>
              <w:pStyle w:val="ac"/>
              <w:jc w:val="both"/>
            </w:pPr>
            <w:r w:rsidRPr="009E1A71">
              <w:rPr>
                <w:rFonts w:eastAsia="Consolas"/>
                <w:color w:val="auto"/>
                <w:lang w:eastAsia="en-US"/>
              </w:rPr>
              <w:t>3.Активизация взаимодействия с международными подразделениями органов Прокуратуры и Министерств иностранных дел РК.</w:t>
            </w:r>
          </w:p>
        </w:tc>
        <w:tc>
          <w:tcPr>
            <w:tcW w:w="4678" w:type="dxa"/>
          </w:tcPr>
          <w:p w:rsidR="00A22D9E" w:rsidRPr="009E1A71" w:rsidRDefault="00A22D9E" w:rsidP="00A22D9E">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В целях увеличения доли окончания уголовных дел инициировано указание Генеральной прокуратуры РК в адрес Министерства финансов РК касательно применения отдельных норм уголовного и уголовно-процессуального кодексов, изменяющее практику расследования уголовных проступков.</w:t>
            </w:r>
          </w:p>
          <w:p w:rsidR="00A22D9E" w:rsidRPr="009E1A71" w:rsidRDefault="00A22D9E" w:rsidP="00A22D9E">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В течение года наработана следственная практика, все проблемные вопросы проработаны совместно с таможенными и налоговыми подразделениями, Генеральной прокуратурой и Верховным Судом, по результатам которого разработан алгоритм расследования уголовных дел, в том числе направление международных следственных поручений.</w:t>
            </w:r>
          </w:p>
          <w:p w:rsidR="00590B8B" w:rsidRPr="009E1A71" w:rsidRDefault="00590B8B" w:rsidP="005C4F0D">
            <w:pPr>
              <w:spacing w:after="0" w:line="240" w:lineRule="auto"/>
              <w:jc w:val="both"/>
              <w:rPr>
                <w:rFonts w:ascii="Times New Roman" w:hAnsi="Times New Roman" w:cs="Times New Roman"/>
                <w:sz w:val="24"/>
                <w:szCs w:val="24"/>
                <w:lang w:val="ru-RU"/>
              </w:rPr>
            </w:pPr>
          </w:p>
        </w:tc>
        <w:tc>
          <w:tcPr>
            <w:tcW w:w="1417" w:type="dxa"/>
          </w:tcPr>
          <w:p w:rsidR="00590B8B" w:rsidRPr="009E1A71" w:rsidRDefault="00A22D9E" w:rsidP="005C4F0D">
            <w:pPr>
              <w:spacing w:after="0" w:line="240" w:lineRule="auto"/>
              <w:rPr>
                <w:rFonts w:ascii="Times New Roman" w:hAnsi="Times New Roman" w:cs="Times New Roman"/>
                <w:sz w:val="24"/>
                <w:szCs w:val="24"/>
                <w:lang w:val="ru-RU"/>
              </w:rPr>
            </w:pPr>
            <w:r w:rsidRPr="009E1A71">
              <w:rPr>
                <w:rFonts w:ascii="Times New Roman" w:hAnsi="Times New Roman" w:cs="Times New Roman"/>
                <w:sz w:val="24"/>
                <w:szCs w:val="24"/>
                <w:lang w:val="ru-RU"/>
              </w:rPr>
              <w:t>Исполнено</w:t>
            </w:r>
          </w:p>
        </w:tc>
      </w:tr>
      <w:tr w:rsidR="00590B8B" w:rsidRPr="00414260" w:rsidTr="007A26E0">
        <w:trPr>
          <w:trHeight w:val="30"/>
        </w:trPr>
        <w:tc>
          <w:tcPr>
            <w:tcW w:w="10456" w:type="dxa"/>
            <w:gridSpan w:val="4"/>
          </w:tcPr>
          <w:p w:rsidR="00590B8B" w:rsidRPr="009E1A71" w:rsidRDefault="00590B8B" w:rsidP="005C4F0D">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lastRenderedPageBreak/>
              <w:t>Стратегическое направление 2 «</w:t>
            </w:r>
            <w:r w:rsidRPr="009E1A71">
              <w:rPr>
                <w:rFonts w:ascii="Times New Roman" w:eastAsia="Calibri" w:hAnsi="Times New Roman" w:cs="Times New Roman"/>
                <w:b/>
                <w:bCs/>
                <w:sz w:val="24"/>
                <w:szCs w:val="24"/>
                <w:lang w:val="ru-RU"/>
              </w:rPr>
              <w:t>Модернизация системы администрирования государственных активов и финансов</w:t>
            </w:r>
            <w:r w:rsidRPr="009E1A71">
              <w:rPr>
                <w:rFonts w:ascii="Times New Roman" w:hAnsi="Times New Roman" w:cs="Times New Roman"/>
                <w:b/>
                <w:sz w:val="24"/>
                <w:szCs w:val="24"/>
                <w:lang w:val="ru-RU"/>
              </w:rPr>
              <w:t>»</w:t>
            </w:r>
          </w:p>
        </w:tc>
      </w:tr>
      <w:tr w:rsidR="00590B8B" w:rsidRPr="00414260" w:rsidTr="007A26E0">
        <w:trPr>
          <w:trHeight w:val="30"/>
        </w:trPr>
        <w:tc>
          <w:tcPr>
            <w:tcW w:w="10456" w:type="dxa"/>
            <w:gridSpan w:val="4"/>
          </w:tcPr>
          <w:p w:rsidR="00590B8B" w:rsidRPr="009E1A71" w:rsidRDefault="00590B8B" w:rsidP="005C4F0D">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Цель 2.2. Создание благоприятной бизнес – среды и снижение административных барьеров для бизнеса и населения</w:t>
            </w:r>
          </w:p>
        </w:tc>
      </w:tr>
      <w:tr w:rsidR="005C4F0D" w:rsidRPr="009E1A71" w:rsidTr="007A26E0">
        <w:trPr>
          <w:trHeight w:val="30"/>
        </w:trPr>
        <w:tc>
          <w:tcPr>
            <w:tcW w:w="1696" w:type="dxa"/>
          </w:tcPr>
          <w:p w:rsidR="005C4F0D" w:rsidRPr="009E1A71" w:rsidRDefault="005C4F0D" w:rsidP="00436D3F">
            <w:pPr>
              <w:pStyle w:val="ac"/>
              <w:jc w:val="both"/>
              <w:rPr>
                <w:rFonts w:eastAsia="Consolas"/>
                <w:color w:val="auto"/>
                <w:lang w:eastAsia="en-US"/>
              </w:rPr>
            </w:pPr>
            <w:r w:rsidRPr="009E1A71">
              <w:rPr>
                <w:rFonts w:eastAsia="Consolas"/>
                <w:color w:val="auto"/>
                <w:lang w:eastAsia="en-US"/>
              </w:rPr>
              <w:t>Увеличение количества автотранспортных сре</w:t>
            </w:r>
            <w:proofErr w:type="gramStart"/>
            <w:r w:rsidRPr="009E1A71">
              <w:rPr>
                <w:rFonts w:eastAsia="Consolas"/>
                <w:color w:val="auto"/>
                <w:lang w:eastAsia="en-US"/>
              </w:rPr>
              <w:t>дств пр</w:t>
            </w:r>
            <w:proofErr w:type="gramEnd"/>
            <w:r w:rsidRPr="009E1A71">
              <w:rPr>
                <w:rFonts w:eastAsia="Consolas"/>
                <w:color w:val="auto"/>
                <w:lang w:eastAsia="en-US"/>
              </w:rPr>
              <w:t>евышающих пропускную способность пунктов пропуска, увеличение нагрузки</w:t>
            </w:r>
          </w:p>
        </w:tc>
        <w:tc>
          <w:tcPr>
            <w:tcW w:w="2665" w:type="dxa"/>
          </w:tcPr>
          <w:p w:rsidR="005C4F0D" w:rsidRPr="009E1A71" w:rsidRDefault="005C4F0D" w:rsidP="00436D3F">
            <w:pPr>
              <w:pStyle w:val="ac"/>
              <w:jc w:val="both"/>
              <w:rPr>
                <w:rFonts w:eastAsia="Consolas"/>
                <w:color w:val="auto"/>
                <w:lang w:eastAsia="en-US"/>
              </w:rPr>
            </w:pPr>
            <w:r w:rsidRPr="009E1A71">
              <w:rPr>
                <w:rFonts w:eastAsia="Consolas"/>
                <w:color w:val="auto"/>
                <w:lang w:eastAsia="en-US"/>
              </w:rPr>
              <w:t xml:space="preserve">Модернизация инфраструктуры существующих пунктов пропуска </w:t>
            </w:r>
          </w:p>
        </w:tc>
        <w:tc>
          <w:tcPr>
            <w:tcW w:w="4678" w:type="dxa"/>
          </w:tcPr>
          <w:p w:rsidR="00A22D9E" w:rsidRPr="009E1A71" w:rsidRDefault="006E3A9B" w:rsidP="00A22D9E">
            <w:pPr>
              <w:spacing w:after="0" w:line="240" w:lineRule="auto"/>
              <w:jc w:val="both"/>
              <w:rPr>
                <w:rFonts w:ascii="Times New Roman" w:hAnsi="Times New Roman" w:cs="Times New Roman"/>
                <w:color w:val="000000"/>
                <w:sz w:val="24"/>
                <w:szCs w:val="24"/>
                <w:lang w:val="kk-KZ"/>
              </w:rPr>
            </w:pPr>
            <w:r w:rsidRPr="009E1A71">
              <w:rPr>
                <w:rFonts w:ascii="Times New Roman" w:hAnsi="Times New Roman" w:cs="Times New Roman"/>
                <w:bCs/>
                <w:sz w:val="24"/>
                <w:szCs w:val="24"/>
                <w:lang w:val="ru-RU"/>
              </w:rPr>
              <w:t>П</w:t>
            </w:r>
            <w:r w:rsidR="00A22D9E" w:rsidRPr="009E1A71">
              <w:rPr>
                <w:rFonts w:ascii="Times New Roman" w:hAnsi="Times New Roman" w:cs="Times New Roman"/>
                <w:bCs/>
                <w:sz w:val="24"/>
                <w:szCs w:val="24"/>
                <w:lang w:val="ru-RU"/>
              </w:rPr>
              <w:t>редусматривается модернизация и техническое дооснащение 10 пунктов пропуска на казахстанском участке таможенной границы ЕАЭС</w:t>
            </w:r>
            <w:r w:rsidR="00A22D9E" w:rsidRPr="009E1A71">
              <w:rPr>
                <w:rFonts w:ascii="Times New Roman" w:hAnsi="Times New Roman" w:cs="Times New Roman"/>
                <w:color w:val="000000"/>
                <w:sz w:val="24"/>
                <w:szCs w:val="24"/>
                <w:lang w:val="kk-KZ"/>
              </w:rPr>
              <w:t>.</w:t>
            </w:r>
          </w:p>
          <w:p w:rsidR="00A22D9E" w:rsidRPr="009E1A71" w:rsidRDefault="00A22D9E" w:rsidP="00A22D9E">
            <w:pPr>
              <w:spacing w:after="0" w:line="240" w:lineRule="auto"/>
              <w:jc w:val="both"/>
              <w:rPr>
                <w:rFonts w:ascii="Times New Roman" w:hAnsi="Times New Roman" w:cs="Times New Roman"/>
                <w:color w:val="000000"/>
                <w:sz w:val="24"/>
                <w:szCs w:val="24"/>
                <w:lang w:val="kk-KZ"/>
              </w:rPr>
            </w:pPr>
            <w:r w:rsidRPr="009E1A71">
              <w:rPr>
                <w:rFonts w:ascii="Times New Roman" w:hAnsi="Times New Roman" w:cs="Times New Roman"/>
                <w:color w:val="000000"/>
                <w:sz w:val="24"/>
                <w:szCs w:val="24"/>
                <w:lang w:val="kk-KZ"/>
              </w:rPr>
              <w:t>В целом, начало реализации проекта планируется в III квартале 2019 года с завершением всех работ по проекту в IV квартале 2022 года.</w:t>
            </w:r>
          </w:p>
          <w:p w:rsidR="00A22D9E" w:rsidRPr="009E1A71" w:rsidRDefault="006E3A9B" w:rsidP="00A22D9E">
            <w:pPr>
              <w:spacing w:after="0" w:line="240" w:lineRule="auto"/>
              <w:jc w:val="both"/>
              <w:rPr>
                <w:rFonts w:ascii="Times New Roman" w:hAnsi="Times New Roman" w:cs="Times New Roman"/>
                <w:color w:val="000000"/>
                <w:sz w:val="24"/>
                <w:szCs w:val="24"/>
                <w:lang w:val="kk-KZ"/>
              </w:rPr>
            </w:pPr>
            <w:r w:rsidRPr="009E1A71">
              <w:rPr>
                <w:rFonts w:ascii="Times New Roman" w:hAnsi="Times New Roman" w:cs="Times New Roman"/>
                <w:color w:val="000000"/>
                <w:sz w:val="24"/>
                <w:szCs w:val="24"/>
                <w:lang w:val="kk-KZ"/>
              </w:rPr>
              <w:t>Завершено с</w:t>
            </w:r>
            <w:r w:rsidR="00A22D9E" w:rsidRPr="009E1A71">
              <w:rPr>
                <w:rFonts w:ascii="Times New Roman" w:hAnsi="Times New Roman" w:cs="Times New Roman"/>
                <w:color w:val="000000"/>
                <w:sz w:val="24"/>
                <w:szCs w:val="24"/>
                <w:lang w:val="kk-KZ"/>
              </w:rPr>
              <w:t>троительство автомобильного пункта пропуска «Нур Жолы» на участке международной автомагистрали Западная Европа - Западный Китай.</w:t>
            </w:r>
            <w:r w:rsidRPr="009E1A71">
              <w:rPr>
                <w:rFonts w:ascii="Times New Roman" w:hAnsi="Times New Roman" w:cs="Times New Roman"/>
                <w:color w:val="000000"/>
                <w:sz w:val="24"/>
                <w:szCs w:val="24"/>
                <w:lang w:val="kk-KZ"/>
              </w:rPr>
              <w:t xml:space="preserve"> </w:t>
            </w:r>
            <w:r w:rsidR="00A22D9E" w:rsidRPr="009E1A71">
              <w:rPr>
                <w:rFonts w:ascii="Times New Roman" w:hAnsi="Times New Roman" w:cs="Times New Roman"/>
                <w:color w:val="000000"/>
                <w:sz w:val="24"/>
                <w:szCs w:val="24"/>
                <w:lang w:val="kk-KZ"/>
              </w:rPr>
              <w:t xml:space="preserve">27 сентября </w:t>
            </w:r>
            <w:r w:rsidRPr="009E1A71">
              <w:rPr>
                <w:rFonts w:ascii="Times New Roman" w:hAnsi="Times New Roman" w:cs="Times New Roman"/>
                <w:color w:val="000000"/>
                <w:sz w:val="24"/>
                <w:szCs w:val="24"/>
                <w:lang w:val="kk-KZ"/>
              </w:rPr>
              <w:t>2018 года</w:t>
            </w:r>
            <w:r w:rsidR="00A22D9E" w:rsidRPr="009E1A71">
              <w:rPr>
                <w:rFonts w:ascii="Times New Roman" w:hAnsi="Times New Roman" w:cs="Times New Roman"/>
                <w:color w:val="000000"/>
                <w:sz w:val="24"/>
                <w:szCs w:val="24"/>
                <w:lang w:val="kk-KZ"/>
              </w:rPr>
              <w:t xml:space="preserve"> состоялось официальное открытие пункта пропуска «Нур Жолы».</w:t>
            </w:r>
          </w:p>
          <w:p w:rsidR="00A22D9E" w:rsidRPr="009E1A71" w:rsidRDefault="006E3A9B" w:rsidP="006E3A9B">
            <w:pPr>
              <w:spacing w:after="0" w:line="240" w:lineRule="auto"/>
              <w:jc w:val="both"/>
              <w:rPr>
                <w:rFonts w:ascii="Times New Roman" w:hAnsi="Times New Roman" w:cs="Times New Roman"/>
                <w:color w:val="000000"/>
                <w:sz w:val="24"/>
                <w:szCs w:val="24"/>
                <w:lang w:val="kk-KZ"/>
              </w:rPr>
            </w:pPr>
            <w:r w:rsidRPr="009E1A71">
              <w:rPr>
                <w:rFonts w:ascii="Times New Roman" w:hAnsi="Times New Roman" w:cs="Times New Roman"/>
                <w:color w:val="000000"/>
                <w:sz w:val="24"/>
                <w:szCs w:val="24"/>
                <w:lang w:val="kk-KZ"/>
              </w:rPr>
              <w:t>Ведется работа по р</w:t>
            </w:r>
            <w:r w:rsidR="00A22D9E" w:rsidRPr="009E1A71">
              <w:rPr>
                <w:rFonts w:ascii="Times New Roman" w:hAnsi="Times New Roman" w:cs="Times New Roman"/>
                <w:color w:val="000000"/>
                <w:sz w:val="24"/>
                <w:szCs w:val="24"/>
                <w:lang w:val="kk-KZ"/>
              </w:rPr>
              <w:t>еконструкци</w:t>
            </w:r>
            <w:r w:rsidRPr="009E1A71">
              <w:rPr>
                <w:rFonts w:ascii="Times New Roman" w:hAnsi="Times New Roman" w:cs="Times New Roman"/>
                <w:color w:val="000000"/>
                <w:sz w:val="24"/>
                <w:szCs w:val="24"/>
                <w:lang w:val="kk-KZ"/>
              </w:rPr>
              <w:t>и</w:t>
            </w:r>
            <w:r w:rsidR="00A22D9E" w:rsidRPr="009E1A71">
              <w:rPr>
                <w:rFonts w:ascii="Times New Roman" w:hAnsi="Times New Roman" w:cs="Times New Roman"/>
                <w:color w:val="000000"/>
                <w:sz w:val="24"/>
                <w:szCs w:val="24"/>
                <w:lang w:val="kk-KZ"/>
              </w:rPr>
              <w:t xml:space="preserve"> п/п «Б. Конысбаева»</w:t>
            </w:r>
            <w:r w:rsidRPr="009E1A71">
              <w:rPr>
                <w:rFonts w:ascii="Times New Roman" w:hAnsi="Times New Roman" w:cs="Times New Roman"/>
                <w:color w:val="000000"/>
                <w:sz w:val="24"/>
                <w:szCs w:val="24"/>
                <w:lang w:val="kk-KZ"/>
              </w:rPr>
              <w:t xml:space="preserve"> с увеличением пропускной способности </w:t>
            </w:r>
            <w:r w:rsidR="00A22D9E" w:rsidRPr="009E1A71">
              <w:rPr>
                <w:rFonts w:ascii="Times New Roman" w:hAnsi="Times New Roman" w:cs="Times New Roman"/>
                <w:color w:val="000000"/>
                <w:sz w:val="24"/>
                <w:szCs w:val="24"/>
                <w:lang w:val="kk-KZ"/>
              </w:rPr>
              <w:t xml:space="preserve">с </w:t>
            </w:r>
            <w:r w:rsidRPr="009E1A71">
              <w:rPr>
                <w:rFonts w:ascii="Times New Roman" w:hAnsi="Times New Roman" w:cs="Times New Roman"/>
                <w:color w:val="000000"/>
                <w:sz w:val="24"/>
                <w:szCs w:val="24"/>
                <w:lang w:val="kk-KZ"/>
              </w:rPr>
              <w:t>150 до 800 грузовых АТС в сутки.</w:t>
            </w:r>
          </w:p>
          <w:p w:rsidR="005C4F0D" w:rsidRPr="009E1A71" w:rsidRDefault="00A22D9E" w:rsidP="00A22D9E">
            <w:pPr>
              <w:spacing w:after="0" w:line="240" w:lineRule="auto"/>
              <w:jc w:val="both"/>
              <w:rPr>
                <w:rFonts w:ascii="Times New Roman" w:hAnsi="Times New Roman" w:cs="Times New Roman"/>
                <w:sz w:val="24"/>
                <w:szCs w:val="24"/>
                <w:lang w:val="kk-KZ"/>
              </w:rPr>
            </w:pPr>
            <w:r w:rsidRPr="009E1A71">
              <w:rPr>
                <w:rFonts w:ascii="Times New Roman" w:hAnsi="Times New Roman" w:cs="Times New Roman"/>
                <w:color w:val="000000"/>
                <w:sz w:val="24"/>
                <w:szCs w:val="24"/>
                <w:lang w:val="kk-KZ"/>
              </w:rPr>
              <w:t>Данные мероприятия положительно повлияют на улучшение таможенной инфраструктуры, увеличение пропускной способности транспортных средств и улучшение транзитного потенциала страны.</w:t>
            </w:r>
          </w:p>
        </w:tc>
        <w:tc>
          <w:tcPr>
            <w:tcW w:w="1417" w:type="dxa"/>
          </w:tcPr>
          <w:p w:rsidR="005C4F0D" w:rsidRPr="009E1A71" w:rsidRDefault="00A22D9E" w:rsidP="005C4F0D">
            <w:pPr>
              <w:spacing w:after="0" w:line="240" w:lineRule="auto"/>
              <w:rPr>
                <w:rFonts w:ascii="Times New Roman" w:hAnsi="Times New Roman" w:cs="Times New Roman"/>
                <w:sz w:val="24"/>
                <w:szCs w:val="24"/>
                <w:lang w:val="ru-RU"/>
              </w:rPr>
            </w:pPr>
            <w:r w:rsidRPr="009E1A71">
              <w:rPr>
                <w:rFonts w:ascii="Times New Roman" w:hAnsi="Times New Roman" w:cs="Times New Roman"/>
                <w:sz w:val="24"/>
                <w:szCs w:val="24"/>
                <w:lang w:val="ru-RU"/>
              </w:rPr>
              <w:t>Исполнено</w:t>
            </w:r>
          </w:p>
        </w:tc>
      </w:tr>
      <w:tr w:rsidR="005C4F0D" w:rsidRPr="009E1A71" w:rsidTr="007A26E0">
        <w:trPr>
          <w:trHeight w:val="30"/>
        </w:trPr>
        <w:tc>
          <w:tcPr>
            <w:tcW w:w="1696" w:type="dxa"/>
          </w:tcPr>
          <w:p w:rsidR="005C4F0D" w:rsidRPr="009E1A71" w:rsidRDefault="005C4F0D" w:rsidP="00324ED7">
            <w:pPr>
              <w:pStyle w:val="ac"/>
              <w:jc w:val="both"/>
              <w:rPr>
                <w:rFonts w:eastAsia="Consolas"/>
                <w:color w:val="auto"/>
                <w:lang w:eastAsia="en-US"/>
              </w:rPr>
            </w:pPr>
            <w:r w:rsidRPr="009E1A71">
              <w:rPr>
                <w:rFonts w:eastAsia="Consolas"/>
                <w:color w:val="auto"/>
                <w:lang w:eastAsia="en-US"/>
              </w:rPr>
              <w:t>Сбой в информационных системах налоговых органов</w:t>
            </w:r>
          </w:p>
          <w:p w:rsidR="005C4F0D" w:rsidRPr="009E1A71" w:rsidRDefault="005C4F0D" w:rsidP="005C4F0D">
            <w:pPr>
              <w:tabs>
                <w:tab w:val="left" w:pos="0"/>
                <w:tab w:val="left" w:pos="285"/>
              </w:tabs>
              <w:spacing w:after="0" w:line="240" w:lineRule="auto"/>
              <w:ind w:right="-108"/>
              <w:jc w:val="both"/>
              <w:rPr>
                <w:rFonts w:ascii="Times New Roman" w:hAnsi="Times New Roman" w:cs="Times New Roman"/>
                <w:sz w:val="24"/>
                <w:szCs w:val="24"/>
                <w:lang w:val="ru-RU"/>
              </w:rPr>
            </w:pPr>
          </w:p>
        </w:tc>
        <w:tc>
          <w:tcPr>
            <w:tcW w:w="2665" w:type="dxa"/>
          </w:tcPr>
          <w:p w:rsidR="005C4F0D" w:rsidRPr="009E1A71" w:rsidRDefault="005C4F0D" w:rsidP="00436D3F">
            <w:pPr>
              <w:tabs>
                <w:tab w:val="left" w:pos="485"/>
              </w:tabs>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Ежедневный мониторинг работоспособности информационных систем, своевременное реагирование при сбоях системы и устранение последствий службой поддержки, поддержка технического оснащения в рабочем состоянии</w:t>
            </w:r>
          </w:p>
        </w:tc>
        <w:tc>
          <w:tcPr>
            <w:tcW w:w="4678" w:type="dxa"/>
          </w:tcPr>
          <w:p w:rsidR="00436D3F" w:rsidRPr="009E1A71" w:rsidRDefault="00436D3F" w:rsidP="00CC799A">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Для обеспечения работоспособности ежедневно администраторами АО «НИТ» проводится мониторинг нагрузки информационных систем КГД МФ РК,  рабочих рассылок по электронной почте.</w:t>
            </w:r>
          </w:p>
          <w:p w:rsidR="005C4F0D" w:rsidRPr="009E1A71" w:rsidRDefault="00CC799A" w:rsidP="00CC799A">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 xml:space="preserve">В 2018 году производились остановки  систем 59 раз </w:t>
            </w:r>
            <w:r w:rsidRPr="009E1A71">
              <w:rPr>
                <w:rFonts w:ascii="Times New Roman" w:hAnsi="Times New Roman" w:cs="Times New Roman"/>
                <w:i/>
                <w:sz w:val="24"/>
                <w:szCs w:val="24"/>
                <w:lang w:val="ru-RU"/>
              </w:rPr>
              <w:t>(ИС ЭСФ-25, ИС ЦУЛС-34)</w:t>
            </w:r>
            <w:r w:rsidRPr="009E1A71">
              <w:rPr>
                <w:rFonts w:ascii="Times New Roman" w:hAnsi="Times New Roman" w:cs="Times New Roman"/>
                <w:sz w:val="24"/>
                <w:szCs w:val="24"/>
                <w:lang w:val="ru-RU"/>
              </w:rPr>
              <w:t xml:space="preserve"> в связи с установкой пакета обновления </w:t>
            </w:r>
            <w:r w:rsidRPr="009E1A71">
              <w:rPr>
                <w:rFonts w:ascii="Times New Roman" w:hAnsi="Times New Roman" w:cs="Times New Roman"/>
                <w:i/>
                <w:sz w:val="24"/>
                <w:szCs w:val="24"/>
                <w:lang w:val="ru-RU"/>
              </w:rPr>
              <w:t xml:space="preserve">(время остановки внерабочее время или в выходные дни).  </w:t>
            </w:r>
          </w:p>
        </w:tc>
        <w:tc>
          <w:tcPr>
            <w:tcW w:w="1417" w:type="dxa"/>
          </w:tcPr>
          <w:p w:rsidR="005C4F0D" w:rsidRPr="009E1A71" w:rsidRDefault="00436D3F" w:rsidP="005C4F0D">
            <w:pPr>
              <w:spacing w:after="0" w:line="240" w:lineRule="auto"/>
              <w:rPr>
                <w:rFonts w:ascii="Times New Roman" w:hAnsi="Times New Roman" w:cs="Times New Roman"/>
                <w:sz w:val="24"/>
                <w:szCs w:val="24"/>
                <w:lang w:val="ru-RU"/>
              </w:rPr>
            </w:pPr>
            <w:r w:rsidRPr="009E1A71">
              <w:rPr>
                <w:rFonts w:ascii="Times New Roman" w:hAnsi="Times New Roman" w:cs="Times New Roman"/>
                <w:sz w:val="24"/>
                <w:szCs w:val="24"/>
                <w:lang w:val="ru-RU"/>
              </w:rPr>
              <w:t>Исполнено</w:t>
            </w:r>
          </w:p>
        </w:tc>
      </w:tr>
      <w:tr w:rsidR="001A0040" w:rsidRPr="00414260" w:rsidTr="007A26E0">
        <w:trPr>
          <w:trHeight w:val="30"/>
        </w:trPr>
        <w:tc>
          <w:tcPr>
            <w:tcW w:w="1696" w:type="dxa"/>
          </w:tcPr>
          <w:p w:rsidR="001A0040" w:rsidRPr="009E1A71" w:rsidRDefault="001A0040" w:rsidP="00324ED7">
            <w:pPr>
              <w:pStyle w:val="ac"/>
              <w:jc w:val="both"/>
              <w:rPr>
                <w:rFonts w:eastAsia="Consolas"/>
                <w:color w:val="auto"/>
                <w:lang w:eastAsia="en-US"/>
              </w:rPr>
            </w:pPr>
            <w:r w:rsidRPr="009E1A71">
              <w:rPr>
                <w:rFonts w:eastAsia="Consolas"/>
                <w:color w:val="auto"/>
                <w:lang w:eastAsia="en-US"/>
              </w:rPr>
              <w:t xml:space="preserve">1.Длительность сроков внедрения информационных систем органов государственных доходов;                                    2.Квалификация </w:t>
            </w:r>
            <w:r w:rsidRPr="009E1A71">
              <w:rPr>
                <w:rFonts w:eastAsia="Consolas"/>
                <w:color w:val="auto"/>
                <w:lang w:eastAsia="en-US"/>
              </w:rPr>
              <w:lastRenderedPageBreak/>
              <w:t>сотрудников органов государственных доходов;                                    3.Отсутствие интеграции информационных систем органов государственных доходов с информационными системами других уполномоченных органов</w:t>
            </w:r>
          </w:p>
        </w:tc>
        <w:tc>
          <w:tcPr>
            <w:tcW w:w="2665" w:type="dxa"/>
          </w:tcPr>
          <w:p w:rsidR="001A0040" w:rsidRPr="009E1A71" w:rsidRDefault="001A0040" w:rsidP="001A0040">
            <w:pPr>
              <w:pStyle w:val="ac"/>
              <w:jc w:val="both"/>
              <w:rPr>
                <w:rFonts w:eastAsia="Consolas"/>
                <w:color w:val="auto"/>
                <w:lang w:eastAsia="en-US"/>
              </w:rPr>
            </w:pPr>
            <w:r w:rsidRPr="009E1A71">
              <w:rPr>
                <w:rFonts w:eastAsia="Consolas"/>
                <w:color w:val="auto"/>
                <w:lang w:eastAsia="en-US"/>
              </w:rPr>
              <w:lastRenderedPageBreak/>
              <w:t>1.Увеличение количества электронных государственных услуг;</w:t>
            </w:r>
          </w:p>
          <w:p w:rsidR="001A0040" w:rsidRPr="009E1A71" w:rsidRDefault="001A0040" w:rsidP="001A0040">
            <w:pPr>
              <w:pStyle w:val="ac"/>
              <w:jc w:val="both"/>
              <w:rPr>
                <w:rFonts w:eastAsia="Consolas"/>
                <w:color w:val="auto"/>
                <w:lang w:eastAsia="en-US"/>
              </w:rPr>
            </w:pPr>
            <w:r w:rsidRPr="009E1A71">
              <w:rPr>
                <w:rFonts w:eastAsia="Consolas"/>
                <w:color w:val="auto"/>
                <w:lang w:eastAsia="en-US"/>
              </w:rPr>
              <w:t xml:space="preserve">2. передача оказание государственных услуг через </w:t>
            </w:r>
            <w:proofErr w:type="spellStart"/>
            <w:r w:rsidRPr="009E1A71">
              <w:rPr>
                <w:rFonts w:eastAsia="Consolas"/>
                <w:color w:val="auto"/>
                <w:lang w:eastAsia="en-US"/>
              </w:rPr>
              <w:t>Госкорпорацию</w:t>
            </w:r>
            <w:proofErr w:type="spellEnd"/>
            <w:r w:rsidRPr="009E1A71">
              <w:rPr>
                <w:rFonts w:eastAsia="Consolas"/>
                <w:color w:val="auto"/>
                <w:lang w:eastAsia="en-US"/>
              </w:rPr>
              <w:t xml:space="preserve"> на альтернативной и безальтернативной </w:t>
            </w:r>
            <w:r w:rsidRPr="009E1A71">
              <w:rPr>
                <w:rFonts w:eastAsia="Consolas"/>
                <w:color w:val="auto"/>
                <w:lang w:eastAsia="en-US"/>
              </w:rPr>
              <w:lastRenderedPageBreak/>
              <w:t>основах;</w:t>
            </w:r>
          </w:p>
          <w:p w:rsidR="001A0040" w:rsidRPr="009E1A71" w:rsidRDefault="001A0040" w:rsidP="001A0040">
            <w:pPr>
              <w:pStyle w:val="ac"/>
              <w:jc w:val="both"/>
              <w:rPr>
                <w:rFonts w:eastAsia="Consolas"/>
                <w:color w:val="auto"/>
                <w:lang w:eastAsia="en-US"/>
              </w:rPr>
            </w:pPr>
            <w:r w:rsidRPr="009E1A71">
              <w:rPr>
                <w:rFonts w:eastAsia="Consolas"/>
                <w:color w:val="auto"/>
                <w:lang w:eastAsia="en-US"/>
              </w:rPr>
              <w:t>3. сокращение времени оказания государственных услуг;</w:t>
            </w:r>
          </w:p>
          <w:p w:rsidR="001A0040" w:rsidRPr="009E1A71" w:rsidRDefault="001A0040" w:rsidP="001A0040">
            <w:pPr>
              <w:pStyle w:val="ac"/>
              <w:jc w:val="both"/>
            </w:pPr>
            <w:r w:rsidRPr="009E1A71">
              <w:rPr>
                <w:rFonts w:eastAsia="Consolas"/>
                <w:color w:val="auto"/>
                <w:lang w:eastAsia="en-US"/>
              </w:rPr>
              <w:t>4. сокращение количества документов, требуемых при получении государственных услуг</w:t>
            </w:r>
          </w:p>
        </w:tc>
        <w:tc>
          <w:tcPr>
            <w:tcW w:w="4678" w:type="dxa"/>
          </w:tcPr>
          <w:p w:rsidR="00205E4C" w:rsidRPr="009E1A71" w:rsidRDefault="00205E4C" w:rsidP="00205E4C">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lastRenderedPageBreak/>
              <w:t xml:space="preserve">Органами государственных доходов оказываются физическим и юридическим лицам 44 государственных услуг, из них 28 услуг налогового и 16 услуг таможенного направлений.  </w:t>
            </w:r>
          </w:p>
          <w:p w:rsidR="007649FD" w:rsidRPr="009E1A71" w:rsidRDefault="00205E4C" w:rsidP="007649FD">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 xml:space="preserve">Комитет в целях предоставления возможности </w:t>
            </w:r>
            <w:proofErr w:type="spellStart"/>
            <w:r w:rsidRPr="009E1A71">
              <w:rPr>
                <w:rFonts w:ascii="Times New Roman" w:hAnsi="Times New Roman" w:cs="Times New Roman"/>
                <w:sz w:val="24"/>
                <w:szCs w:val="24"/>
                <w:lang w:val="ru-RU"/>
              </w:rPr>
              <w:t>услугополучателям</w:t>
            </w:r>
            <w:proofErr w:type="spellEnd"/>
            <w:r w:rsidRPr="009E1A71">
              <w:rPr>
                <w:rFonts w:ascii="Times New Roman" w:hAnsi="Times New Roman" w:cs="Times New Roman"/>
                <w:sz w:val="24"/>
                <w:szCs w:val="24"/>
                <w:lang w:val="ru-RU"/>
              </w:rPr>
              <w:t xml:space="preserve"> получать </w:t>
            </w:r>
            <w:proofErr w:type="spellStart"/>
            <w:r w:rsidRPr="009E1A71">
              <w:rPr>
                <w:rFonts w:ascii="Times New Roman" w:hAnsi="Times New Roman" w:cs="Times New Roman"/>
                <w:sz w:val="24"/>
                <w:szCs w:val="24"/>
                <w:lang w:val="ru-RU"/>
              </w:rPr>
              <w:t>госуслуги</w:t>
            </w:r>
            <w:proofErr w:type="spellEnd"/>
            <w:r w:rsidRPr="009E1A71">
              <w:rPr>
                <w:rFonts w:ascii="Times New Roman" w:hAnsi="Times New Roman" w:cs="Times New Roman"/>
                <w:sz w:val="24"/>
                <w:szCs w:val="24"/>
                <w:lang w:val="ru-RU"/>
              </w:rPr>
              <w:t xml:space="preserve"> в электронном виде на постоянной основе проводит работу по переводу государственных услуг в </w:t>
            </w:r>
            <w:r w:rsidRPr="009E1A71">
              <w:rPr>
                <w:rFonts w:ascii="Times New Roman" w:hAnsi="Times New Roman" w:cs="Times New Roman"/>
                <w:sz w:val="24"/>
                <w:szCs w:val="24"/>
                <w:lang w:val="ru-RU"/>
              </w:rPr>
              <w:lastRenderedPageBreak/>
              <w:t>электронный формат.  На сегодняшний день из 44 государственных услуг 30 государственные услуги (или 68,2%) автоматизированы</w:t>
            </w:r>
            <w:r w:rsidR="007649FD" w:rsidRPr="009E1A71">
              <w:rPr>
                <w:rFonts w:ascii="Times New Roman" w:hAnsi="Times New Roman" w:cs="Times New Roman"/>
                <w:sz w:val="24"/>
                <w:szCs w:val="24"/>
                <w:lang w:val="ru-RU"/>
              </w:rPr>
              <w:t>, в том числе  на альтернативной основе через «Государственную корпорацию «Правительство для граждан» оказываются 24 услуги, на безальтернативной основе – 1 услуга.</w:t>
            </w:r>
          </w:p>
          <w:p w:rsidR="00205E4C" w:rsidRPr="009E1A71" w:rsidRDefault="00205E4C" w:rsidP="00205E4C">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По итогам 2018 года органами государственных доходов всего оказано – 21,5 млн. услуг, в том числе в электронной форме – 20,1 млн. или 94%, на бумажном носителе – 1,4 млн. или 6,0%.</w:t>
            </w:r>
          </w:p>
          <w:p w:rsidR="007649FD" w:rsidRPr="009E1A71" w:rsidRDefault="007649FD" w:rsidP="007649FD">
            <w:pPr>
              <w:spacing w:after="0" w:line="240" w:lineRule="auto"/>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 xml:space="preserve">Меры по оптимизации </w:t>
            </w:r>
            <w:proofErr w:type="spellStart"/>
            <w:r w:rsidRPr="009E1A71">
              <w:rPr>
                <w:rFonts w:ascii="Times New Roman" w:hAnsi="Times New Roman" w:cs="Times New Roman"/>
                <w:sz w:val="24"/>
                <w:szCs w:val="24"/>
                <w:lang w:val="ru-RU"/>
              </w:rPr>
              <w:t>госуслуг</w:t>
            </w:r>
            <w:proofErr w:type="spellEnd"/>
            <w:r w:rsidRPr="009E1A71">
              <w:rPr>
                <w:rFonts w:ascii="Times New Roman" w:hAnsi="Times New Roman" w:cs="Times New Roman"/>
                <w:sz w:val="24"/>
                <w:szCs w:val="24"/>
                <w:lang w:val="ru-RU"/>
              </w:rPr>
              <w:t xml:space="preserve"> предусматривают сокращение сроков оказания, перечня необходимых документов, перевод в электронный формат и реализацию на портале электронного правительства посредством интеграции информационных систем и изменений в законодательстве, а также передачу на аутсорсинг.</w:t>
            </w:r>
          </w:p>
          <w:p w:rsidR="007649FD" w:rsidRPr="009E1A71" w:rsidRDefault="007649FD" w:rsidP="007649FD">
            <w:pPr>
              <w:pStyle w:val="a5"/>
              <w:spacing w:before="0" w:beforeAutospacing="0" w:after="0" w:afterAutospacing="0"/>
              <w:ind w:firstLine="851"/>
              <w:jc w:val="both"/>
              <w:rPr>
                <w:lang w:val="ru-RU"/>
              </w:rPr>
            </w:pPr>
          </w:p>
          <w:p w:rsidR="001A0040" w:rsidRPr="009E1A71" w:rsidRDefault="001A0040" w:rsidP="00CC799A">
            <w:pPr>
              <w:spacing w:after="0" w:line="240" w:lineRule="auto"/>
              <w:jc w:val="both"/>
              <w:rPr>
                <w:rFonts w:ascii="Times New Roman" w:hAnsi="Times New Roman" w:cs="Times New Roman"/>
                <w:sz w:val="24"/>
                <w:szCs w:val="24"/>
                <w:lang w:val="ru-RU"/>
              </w:rPr>
            </w:pPr>
          </w:p>
        </w:tc>
        <w:tc>
          <w:tcPr>
            <w:tcW w:w="1417" w:type="dxa"/>
          </w:tcPr>
          <w:p w:rsidR="001A0040" w:rsidRPr="009E1A71" w:rsidRDefault="001A0040" w:rsidP="005C4F0D">
            <w:pPr>
              <w:spacing w:after="0" w:line="240" w:lineRule="auto"/>
              <w:rPr>
                <w:rFonts w:ascii="Times New Roman" w:hAnsi="Times New Roman" w:cs="Times New Roman"/>
                <w:sz w:val="24"/>
                <w:szCs w:val="24"/>
                <w:lang w:val="ru-RU"/>
              </w:rPr>
            </w:pPr>
          </w:p>
        </w:tc>
      </w:tr>
      <w:tr w:rsidR="005C4F0D" w:rsidRPr="009E1A71" w:rsidTr="007A26E0">
        <w:trPr>
          <w:trHeight w:val="30"/>
        </w:trPr>
        <w:tc>
          <w:tcPr>
            <w:tcW w:w="1696" w:type="dxa"/>
            <w:shd w:val="clear" w:color="auto" w:fill="auto"/>
          </w:tcPr>
          <w:p w:rsidR="005C4F0D" w:rsidRPr="009E1A71" w:rsidRDefault="005C4F0D" w:rsidP="00324ED7">
            <w:pPr>
              <w:tabs>
                <w:tab w:val="left" w:pos="485"/>
              </w:tabs>
              <w:spacing w:after="0" w:line="240" w:lineRule="auto"/>
              <w:ind w:right="62"/>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lastRenderedPageBreak/>
              <w:t>Возможность не применения должниками новых механизмов реабилитации и банкротства</w:t>
            </w:r>
          </w:p>
        </w:tc>
        <w:tc>
          <w:tcPr>
            <w:tcW w:w="2665" w:type="dxa"/>
            <w:shd w:val="clear" w:color="auto" w:fill="auto"/>
          </w:tcPr>
          <w:p w:rsidR="005C4F0D" w:rsidRPr="009E1A71" w:rsidRDefault="005C4F0D" w:rsidP="00436D3F">
            <w:pPr>
              <w:tabs>
                <w:tab w:val="left" w:pos="485"/>
              </w:tabs>
              <w:spacing w:after="0" w:line="240" w:lineRule="auto"/>
              <w:ind w:hanging="15"/>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Проведение разъяснительной работы среди участников реабилитации и банкротства</w:t>
            </w:r>
          </w:p>
        </w:tc>
        <w:tc>
          <w:tcPr>
            <w:tcW w:w="4678" w:type="dxa"/>
            <w:shd w:val="clear" w:color="auto" w:fill="auto"/>
          </w:tcPr>
          <w:p w:rsidR="004F507F" w:rsidRPr="009E1A71" w:rsidRDefault="00AA4254" w:rsidP="008C6741">
            <w:pPr>
              <w:spacing w:after="0" w:line="240" w:lineRule="auto"/>
              <w:jc w:val="both"/>
              <w:rPr>
                <w:rFonts w:ascii="Times New Roman" w:hAnsi="Times New Roman" w:cs="Times New Roman"/>
                <w:color w:val="000000"/>
                <w:sz w:val="24"/>
                <w:szCs w:val="24"/>
                <w:lang w:val="kk-KZ"/>
              </w:rPr>
            </w:pPr>
            <w:r w:rsidRPr="009E1A71">
              <w:rPr>
                <w:rFonts w:ascii="Times New Roman" w:hAnsi="Times New Roman" w:cs="Times New Roman"/>
                <w:color w:val="000000"/>
                <w:sz w:val="24"/>
                <w:szCs w:val="24"/>
                <w:lang w:val="kk-KZ"/>
              </w:rPr>
              <w:t xml:space="preserve">Разъяснение положений действующего законодательства в сфере реабилитации и банкротства ведется на постоянной основе.  Так, с начала 2018 года проведены </w:t>
            </w:r>
            <w:r w:rsidR="004F507F" w:rsidRPr="009E1A71">
              <w:rPr>
                <w:rFonts w:ascii="Times New Roman" w:hAnsi="Times New Roman" w:cs="Times New Roman"/>
                <w:color w:val="000000"/>
                <w:sz w:val="24"/>
                <w:szCs w:val="24"/>
                <w:lang w:val="kk-KZ"/>
              </w:rPr>
              <w:t xml:space="preserve">28 круглых столов, опубликованы </w:t>
            </w:r>
            <w:r w:rsidRPr="009E1A71">
              <w:rPr>
                <w:rFonts w:ascii="Times New Roman" w:hAnsi="Times New Roman" w:cs="Times New Roman"/>
                <w:color w:val="000000"/>
                <w:sz w:val="24"/>
                <w:szCs w:val="24"/>
                <w:lang w:val="kk-KZ"/>
              </w:rPr>
              <w:t>83 материала в средствах массовой информации, 63 на страницах социальных сетей и интернет – ресурсах, 5 интервью.</w:t>
            </w:r>
            <w:r w:rsidR="004F507F" w:rsidRPr="009E1A71">
              <w:rPr>
                <w:rFonts w:ascii="Times New Roman" w:hAnsi="Times New Roman" w:cs="Times New Roman"/>
                <w:color w:val="000000"/>
                <w:sz w:val="24"/>
                <w:szCs w:val="24"/>
                <w:lang w:val="kk-KZ"/>
              </w:rPr>
              <w:t xml:space="preserve"> </w:t>
            </w:r>
          </w:p>
        </w:tc>
        <w:tc>
          <w:tcPr>
            <w:tcW w:w="1417" w:type="dxa"/>
          </w:tcPr>
          <w:p w:rsidR="005C4F0D" w:rsidRPr="009E1A71" w:rsidRDefault="00324ED7" w:rsidP="005C4F0D">
            <w:pPr>
              <w:spacing w:after="0" w:line="240" w:lineRule="auto"/>
              <w:jc w:val="both"/>
              <w:rPr>
                <w:rFonts w:ascii="Times New Roman" w:hAnsi="Times New Roman"/>
                <w:sz w:val="24"/>
                <w:szCs w:val="24"/>
                <w:lang w:val="ru-RU"/>
              </w:rPr>
            </w:pPr>
            <w:r w:rsidRPr="009E1A71">
              <w:rPr>
                <w:rFonts w:ascii="Times New Roman" w:hAnsi="Times New Roman"/>
                <w:sz w:val="24"/>
                <w:szCs w:val="24"/>
                <w:lang w:val="ru-RU"/>
              </w:rPr>
              <w:t>Исполнено</w:t>
            </w:r>
          </w:p>
        </w:tc>
      </w:tr>
    </w:tbl>
    <w:p w:rsidR="007D179F" w:rsidRPr="009E1A71" w:rsidRDefault="007D179F" w:rsidP="0012777A">
      <w:pPr>
        <w:spacing w:after="0"/>
        <w:jc w:val="center"/>
        <w:rPr>
          <w:rFonts w:ascii="Times New Roman" w:hAnsi="Times New Roman"/>
          <w:b/>
          <w:sz w:val="28"/>
          <w:szCs w:val="28"/>
          <w:lang w:val="ru-RU"/>
        </w:rPr>
      </w:pPr>
    </w:p>
    <w:p w:rsidR="0012777A" w:rsidRPr="009E1A71" w:rsidRDefault="0012777A" w:rsidP="0012777A">
      <w:pPr>
        <w:numPr>
          <w:ilvl w:val="0"/>
          <w:numId w:val="2"/>
        </w:numPr>
        <w:spacing w:after="0"/>
        <w:jc w:val="center"/>
        <w:rPr>
          <w:rFonts w:ascii="Times New Roman" w:hAnsi="Times New Roman"/>
          <w:b/>
          <w:sz w:val="28"/>
          <w:szCs w:val="28"/>
          <w:lang w:val="ru-RU"/>
        </w:rPr>
      </w:pPr>
      <w:r w:rsidRPr="009E1A71">
        <w:rPr>
          <w:rFonts w:ascii="Times New Roman" w:hAnsi="Times New Roman"/>
          <w:b/>
          <w:sz w:val="28"/>
          <w:szCs w:val="28"/>
          <w:lang w:val="ru-RU"/>
        </w:rPr>
        <w:t>Достижение целей и целевых индикаторов</w:t>
      </w:r>
    </w:p>
    <w:p w:rsidR="0012777A" w:rsidRPr="009E1A71" w:rsidRDefault="0012777A" w:rsidP="0012777A">
      <w:pPr>
        <w:spacing w:after="0"/>
        <w:ind w:left="720"/>
        <w:rPr>
          <w:rFonts w:ascii="Times New Roman" w:hAnsi="Times New Roman"/>
          <w:sz w:val="28"/>
          <w:szCs w:val="28"/>
          <w:lang w:val="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1059"/>
        <w:gridCol w:w="850"/>
        <w:gridCol w:w="851"/>
        <w:gridCol w:w="850"/>
        <w:gridCol w:w="4189"/>
      </w:tblGrid>
      <w:tr w:rsidR="0012777A" w:rsidRPr="009E1A71" w:rsidTr="00037DBB">
        <w:trPr>
          <w:trHeight w:val="30"/>
        </w:trPr>
        <w:tc>
          <w:tcPr>
            <w:tcW w:w="2055" w:type="dxa"/>
            <w:vMerge w:val="restart"/>
          </w:tcPr>
          <w:p w:rsidR="0012777A" w:rsidRPr="009E1A71" w:rsidRDefault="0012777A" w:rsidP="007D179F">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Наименование целевого индикатора</w:t>
            </w:r>
          </w:p>
        </w:tc>
        <w:tc>
          <w:tcPr>
            <w:tcW w:w="1059" w:type="dxa"/>
            <w:vMerge w:val="restart"/>
          </w:tcPr>
          <w:p w:rsidR="0012777A" w:rsidRPr="009E1A71" w:rsidRDefault="0012777A" w:rsidP="007D179F">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Источник информации</w:t>
            </w:r>
          </w:p>
        </w:tc>
        <w:tc>
          <w:tcPr>
            <w:tcW w:w="850" w:type="dxa"/>
            <w:vMerge w:val="restart"/>
          </w:tcPr>
          <w:p w:rsidR="0012777A" w:rsidRPr="009E1A71" w:rsidRDefault="0012777A" w:rsidP="007D179F">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Ед. изм.</w:t>
            </w:r>
          </w:p>
        </w:tc>
        <w:tc>
          <w:tcPr>
            <w:tcW w:w="1701" w:type="dxa"/>
            <w:gridSpan w:val="2"/>
          </w:tcPr>
          <w:p w:rsidR="0012777A" w:rsidRPr="009E1A71" w:rsidRDefault="0012777A" w:rsidP="007D179F">
            <w:pPr>
              <w:spacing w:after="0" w:line="240" w:lineRule="auto"/>
              <w:jc w:val="center"/>
              <w:rPr>
                <w:rFonts w:ascii="Times New Roman" w:hAnsi="Times New Roman" w:cs="Times New Roman"/>
                <w:b/>
                <w:sz w:val="24"/>
                <w:szCs w:val="24"/>
              </w:rPr>
            </w:pPr>
            <w:r w:rsidRPr="009E1A71">
              <w:rPr>
                <w:rFonts w:ascii="Times New Roman" w:hAnsi="Times New Roman" w:cs="Times New Roman"/>
                <w:b/>
                <w:sz w:val="24"/>
                <w:szCs w:val="24"/>
                <w:lang w:val="ru-RU"/>
              </w:rPr>
              <w:t>Отчетный пери</w:t>
            </w:r>
            <w:proofErr w:type="spellStart"/>
            <w:r w:rsidRPr="009E1A71">
              <w:rPr>
                <w:rFonts w:ascii="Times New Roman" w:hAnsi="Times New Roman" w:cs="Times New Roman"/>
                <w:b/>
                <w:sz w:val="24"/>
                <w:szCs w:val="24"/>
              </w:rPr>
              <w:t>од</w:t>
            </w:r>
            <w:proofErr w:type="spellEnd"/>
          </w:p>
        </w:tc>
        <w:tc>
          <w:tcPr>
            <w:tcW w:w="4189" w:type="dxa"/>
            <w:vMerge w:val="restart"/>
          </w:tcPr>
          <w:p w:rsidR="0012777A" w:rsidRPr="009E1A71" w:rsidRDefault="0012777A" w:rsidP="007D179F">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Примечание</w:t>
            </w:r>
          </w:p>
          <w:p w:rsidR="0012777A" w:rsidRPr="009E1A71" w:rsidRDefault="0012777A" w:rsidP="007D179F">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 xml:space="preserve">(информация </w:t>
            </w:r>
            <w:r w:rsidRPr="009E1A71">
              <w:rPr>
                <w:rFonts w:ascii="Times New Roman" w:hAnsi="Times New Roman" w:cs="Times New Roman"/>
                <w:b/>
                <w:sz w:val="24"/>
                <w:szCs w:val="24"/>
                <w:lang w:val="ru-RU"/>
              </w:rPr>
              <w:br/>
              <w:t>об исполнении/</w:t>
            </w:r>
            <w:r w:rsidRPr="009E1A71">
              <w:rPr>
                <w:rFonts w:ascii="Times New Roman" w:hAnsi="Times New Roman" w:cs="Times New Roman"/>
                <w:b/>
                <w:sz w:val="24"/>
                <w:szCs w:val="24"/>
                <w:lang w:val="ru-RU"/>
              </w:rPr>
              <w:br/>
              <w:t>неисполнении)</w:t>
            </w:r>
          </w:p>
        </w:tc>
      </w:tr>
      <w:tr w:rsidR="0012777A" w:rsidRPr="009E1A71" w:rsidTr="00037DBB">
        <w:trPr>
          <w:trHeight w:val="30"/>
        </w:trPr>
        <w:tc>
          <w:tcPr>
            <w:tcW w:w="2055" w:type="dxa"/>
            <w:vMerge/>
          </w:tcPr>
          <w:p w:rsidR="0012777A" w:rsidRPr="009E1A71" w:rsidRDefault="0012777A" w:rsidP="007D179F">
            <w:pPr>
              <w:spacing w:after="0" w:line="240" w:lineRule="auto"/>
              <w:rPr>
                <w:rFonts w:ascii="Times New Roman" w:hAnsi="Times New Roman" w:cs="Times New Roman"/>
                <w:sz w:val="24"/>
                <w:szCs w:val="24"/>
                <w:lang w:val="ru-RU"/>
              </w:rPr>
            </w:pPr>
          </w:p>
        </w:tc>
        <w:tc>
          <w:tcPr>
            <w:tcW w:w="1059" w:type="dxa"/>
            <w:vMerge/>
          </w:tcPr>
          <w:p w:rsidR="0012777A" w:rsidRPr="009E1A71" w:rsidRDefault="0012777A" w:rsidP="007D179F">
            <w:pPr>
              <w:spacing w:after="0" w:line="240" w:lineRule="auto"/>
              <w:rPr>
                <w:rFonts w:ascii="Times New Roman" w:hAnsi="Times New Roman" w:cs="Times New Roman"/>
                <w:sz w:val="24"/>
                <w:szCs w:val="24"/>
                <w:lang w:val="ru-RU"/>
              </w:rPr>
            </w:pPr>
          </w:p>
        </w:tc>
        <w:tc>
          <w:tcPr>
            <w:tcW w:w="850" w:type="dxa"/>
            <w:vMerge/>
          </w:tcPr>
          <w:p w:rsidR="0012777A" w:rsidRPr="009E1A71" w:rsidRDefault="0012777A" w:rsidP="007D179F">
            <w:pPr>
              <w:spacing w:after="0" w:line="240" w:lineRule="auto"/>
              <w:rPr>
                <w:rFonts w:ascii="Times New Roman" w:hAnsi="Times New Roman" w:cs="Times New Roman"/>
                <w:sz w:val="24"/>
                <w:szCs w:val="24"/>
                <w:lang w:val="ru-RU"/>
              </w:rPr>
            </w:pPr>
          </w:p>
        </w:tc>
        <w:tc>
          <w:tcPr>
            <w:tcW w:w="851" w:type="dxa"/>
          </w:tcPr>
          <w:p w:rsidR="0012777A" w:rsidRPr="009E1A71" w:rsidRDefault="0012777A" w:rsidP="007D179F">
            <w:pPr>
              <w:spacing w:after="0" w:line="240" w:lineRule="auto"/>
              <w:ind w:hanging="128"/>
              <w:jc w:val="center"/>
              <w:rPr>
                <w:rFonts w:ascii="Times New Roman" w:hAnsi="Times New Roman" w:cs="Times New Roman"/>
                <w:b/>
                <w:sz w:val="24"/>
                <w:szCs w:val="24"/>
              </w:rPr>
            </w:pPr>
            <w:proofErr w:type="spellStart"/>
            <w:r w:rsidRPr="009E1A71">
              <w:rPr>
                <w:rFonts w:ascii="Times New Roman" w:hAnsi="Times New Roman" w:cs="Times New Roman"/>
                <w:b/>
                <w:sz w:val="24"/>
                <w:szCs w:val="24"/>
              </w:rPr>
              <w:t>План</w:t>
            </w:r>
            <w:proofErr w:type="spellEnd"/>
          </w:p>
        </w:tc>
        <w:tc>
          <w:tcPr>
            <w:tcW w:w="850" w:type="dxa"/>
          </w:tcPr>
          <w:p w:rsidR="0012777A" w:rsidRPr="009E1A71" w:rsidRDefault="0012777A" w:rsidP="007D179F">
            <w:pPr>
              <w:spacing w:after="0" w:line="240" w:lineRule="auto"/>
              <w:jc w:val="center"/>
              <w:rPr>
                <w:rFonts w:ascii="Times New Roman" w:hAnsi="Times New Roman" w:cs="Times New Roman"/>
                <w:b/>
                <w:sz w:val="24"/>
                <w:szCs w:val="24"/>
              </w:rPr>
            </w:pPr>
            <w:proofErr w:type="spellStart"/>
            <w:r w:rsidRPr="009E1A71">
              <w:rPr>
                <w:rFonts w:ascii="Times New Roman" w:hAnsi="Times New Roman" w:cs="Times New Roman"/>
                <w:b/>
                <w:sz w:val="24"/>
                <w:szCs w:val="24"/>
              </w:rPr>
              <w:t>Факт</w:t>
            </w:r>
            <w:proofErr w:type="spellEnd"/>
          </w:p>
        </w:tc>
        <w:tc>
          <w:tcPr>
            <w:tcW w:w="4189" w:type="dxa"/>
            <w:vMerge/>
          </w:tcPr>
          <w:p w:rsidR="0012777A" w:rsidRPr="009E1A71" w:rsidRDefault="0012777A" w:rsidP="007D179F">
            <w:pPr>
              <w:spacing w:after="0" w:line="240" w:lineRule="auto"/>
              <w:rPr>
                <w:rFonts w:ascii="Times New Roman" w:hAnsi="Times New Roman" w:cs="Times New Roman"/>
                <w:sz w:val="24"/>
                <w:szCs w:val="24"/>
              </w:rPr>
            </w:pPr>
          </w:p>
        </w:tc>
      </w:tr>
      <w:tr w:rsidR="0012777A" w:rsidRPr="009E1A71" w:rsidTr="00037DBB">
        <w:trPr>
          <w:trHeight w:val="30"/>
        </w:trPr>
        <w:tc>
          <w:tcPr>
            <w:tcW w:w="2055" w:type="dxa"/>
          </w:tcPr>
          <w:p w:rsidR="0012777A" w:rsidRPr="009E1A71" w:rsidRDefault="0012777A" w:rsidP="007D179F">
            <w:pPr>
              <w:spacing w:after="0" w:line="240" w:lineRule="auto"/>
              <w:jc w:val="center"/>
              <w:rPr>
                <w:rFonts w:ascii="Times New Roman" w:hAnsi="Times New Roman" w:cs="Times New Roman"/>
                <w:sz w:val="24"/>
                <w:szCs w:val="24"/>
              </w:rPr>
            </w:pPr>
            <w:r w:rsidRPr="009E1A71">
              <w:rPr>
                <w:rFonts w:ascii="Times New Roman" w:hAnsi="Times New Roman" w:cs="Times New Roman"/>
                <w:sz w:val="24"/>
                <w:szCs w:val="24"/>
              </w:rPr>
              <w:t>1</w:t>
            </w:r>
          </w:p>
        </w:tc>
        <w:tc>
          <w:tcPr>
            <w:tcW w:w="1059" w:type="dxa"/>
          </w:tcPr>
          <w:p w:rsidR="0012777A" w:rsidRPr="009E1A71" w:rsidRDefault="0012777A" w:rsidP="007D179F">
            <w:pPr>
              <w:spacing w:after="0" w:line="240" w:lineRule="auto"/>
              <w:jc w:val="center"/>
              <w:rPr>
                <w:rFonts w:ascii="Times New Roman" w:hAnsi="Times New Roman" w:cs="Times New Roman"/>
                <w:sz w:val="24"/>
                <w:szCs w:val="24"/>
              </w:rPr>
            </w:pPr>
            <w:r w:rsidRPr="009E1A71">
              <w:rPr>
                <w:rFonts w:ascii="Times New Roman" w:hAnsi="Times New Roman" w:cs="Times New Roman"/>
                <w:sz w:val="24"/>
                <w:szCs w:val="24"/>
              </w:rPr>
              <w:t>2</w:t>
            </w:r>
          </w:p>
        </w:tc>
        <w:tc>
          <w:tcPr>
            <w:tcW w:w="850" w:type="dxa"/>
          </w:tcPr>
          <w:p w:rsidR="0012777A" w:rsidRPr="009E1A71" w:rsidRDefault="0012777A" w:rsidP="007D179F">
            <w:pPr>
              <w:spacing w:after="0" w:line="240" w:lineRule="auto"/>
              <w:jc w:val="center"/>
              <w:rPr>
                <w:rFonts w:ascii="Times New Roman" w:hAnsi="Times New Roman" w:cs="Times New Roman"/>
                <w:sz w:val="24"/>
                <w:szCs w:val="24"/>
              </w:rPr>
            </w:pPr>
            <w:r w:rsidRPr="009E1A71">
              <w:rPr>
                <w:rFonts w:ascii="Times New Roman" w:hAnsi="Times New Roman" w:cs="Times New Roman"/>
                <w:sz w:val="24"/>
                <w:szCs w:val="24"/>
              </w:rPr>
              <w:t>3</w:t>
            </w:r>
          </w:p>
        </w:tc>
        <w:tc>
          <w:tcPr>
            <w:tcW w:w="851" w:type="dxa"/>
          </w:tcPr>
          <w:p w:rsidR="0012777A" w:rsidRPr="009E1A71" w:rsidRDefault="0012777A" w:rsidP="007D179F">
            <w:pPr>
              <w:spacing w:after="0" w:line="240" w:lineRule="auto"/>
              <w:jc w:val="center"/>
              <w:rPr>
                <w:rFonts w:ascii="Times New Roman" w:hAnsi="Times New Roman" w:cs="Times New Roman"/>
                <w:sz w:val="24"/>
                <w:szCs w:val="24"/>
              </w:rPr>
            </w:pPr>
            <w:r w:rsidRPr="009E1A71">
              <w:rPr>
                <w:rFonts w:ascii="Times New Roman" w:hAnsi="Times New Roman" w:cs="Times New Roman"/>
                <w:sz w:val="24"/>
                <w:szCs w:val="24"/>
              </w:rPr>
              <w:t>4</w:t>
            </w:r>
          </w:p>
        </w:tc>
        <w:tc>
          <w:tcPr>
            <w:tcW w:w="850" w:type="dxa"/>
          </w:tcPr>
          <w:p w:rsidR="0012777A" w:rsidRPr="009E1A71" w:rsidRDefault="0012777A" w:rsidP="007D179F">
            <w:pPr>
              <w:spacing w:after="0" w:line="240" w:lineRule="auto"/>
              <w:jc w:val="center"/>
              <w:rPr>
                <w:rFonts w:ascii="Times New Roman" w:hAnsi="Times New Roman" w:cs="Times New Roman"/>
                <w:sz w:val="24"/>
                <w:szCs w:val="24"/>
              </w:rPr>
            </w:pPr>
            <w:r w:rsidRPr="009E1A71">
              <w:rPr>
                <w:rFonts w:ascii="Times New Roman" w:hAnsi="Times New Roman" w:cs="Times New Roman"/>
                <w:sz w:val="24"/>
                <w:szCs w:val="24"/>
              </w:rPr>
              <w:t>5</w:t>
            </w:r>
          </w:p>
        </w:tc>
        <w:tc>
          <w:tcPr>
            <w:tcW w:w="4189" w:type="dxa"/>
          </w:tcPr>
          <w:p w:rsidR="0012777A" w:rsidRPr="009E1A71" w:rsidRDefault="0012777A" w:rsidP="007D179F">
            <w:pPr>
              <w:spacing w:after="0" w:line="240" w:lineRule="auto"/>
              <w:jc w:val="center"/>
              <w:rPr>
                <w:rFonts w:ascii="Times New Roman" w:hAnsi="Times New Roman" w:cs="Times New Roman"/>
                <w:sz w:val="24"/>
                <w:szCs w:val="24"/>
              </w:rPr>
            </w:pPr>
            <w:r w:rsidRPr="009E1A71">
              <w:rPr>
                <w:rFonts w:ascii="Times New Roman" w:hAnsi="Times New Roman" w:cs="Times New Roman"/>
                <w:sz w:val="24"/>
                <w:szCs w:val="24"/>
              </w:rPr>
              <w:t>6</w:t>
            </w:r>
          </w:p>
        </w:tc>
      </w:tr>
      <w:tr w:rsidR="00037DBB" w:rsidRPr="00414260" w:rsidTr="00037DBB">
        <w:trPr>
          <w:trHeight w:val="30"/>
        </w:trPr>
        <w:tc>
          <w:tcPr>
            <w:tcW w:w="9854" w:type="dxa"/>
            <w:gridSpan w:val="6"/>
          </w:tcPr>
          <w:p w:rsidR="00037DBB" w:rsidRPr="009E1A71" w:rsidRDefault="00037DBB" w:rsidP="00577A28">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Стратегическое направление 1. «</w:t>
            </w:r>
            <w:r w:rsidR="00577A28" w:rsidRPr="009E1A71">
              <w:rPr>
                <w:rFonts w:ascii="Times New Roman" w:hAnsi="Times New Roman" w:cs="Times New Roman"/>
                <w:b/>
                <w:sz w:val="24"/>
                <w:szCs w:val="24"/>
                <w:lang w:val="ru-RU"/>
              </w:rPr>
              <w:t xml:space="preserve">Содействие </w:t>
            </w:r>
            <w:r w:rsidR="00B35FB1" w:rsidRPr="009E1A71">
              <w:rPr>
                <w:rFonts w:ascii="Times New Roman" w:hAnsi="Times New Roman" w:cs="Times New Roman"/>
                <w:b/>
                <w:sz w:val="24"/>
                <w:szCs w:val="24"/>
                <w:lang w:val="ru-RU"/>
              </w:rPr>
              <w:t>устойчивости финансовой системы</w:t>
            </w:r>
            <w:r w:rsidRPr="009E1A71">
              <w:rPr>
                <w:rFonts w:ascii="Times New Roman" w:hAnsi="Times New Roman" w:cs="Times New Roman"/>
                <w:b/>
                <w:sz w:val="24"/>
                <w:szCs w:val="24"/>
                <w:lang w:val="ru-RU"/>
              </w:rPr>
              <w:t>»</w:t>
            </w:r>
          </w:p>
        </w:tc>
      </w:tr>
      <w:tr w:rsidR="00037DBB" w:rsidRPr="009E1A71" w:rsidTr="00037DBB">
        <w:trPr>
          <w:trHeight w:val="30"/>
        </w:trPr>
        <w:tc>
          <w:tcPr>
            <w:tcW w:w="9854" w:type="dxa"/>
            <w:gridSpan w:val="6"/>
          </w:tcPr>
          <w:p w:rsidR="00037DBB" w:rsidRPr="009E1A71" w:rsidRDefault="00037DBB" w:rsidP="00577A28">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Цель 1.1. «</w:t>
            </w:r>
            <w:r w:rsidR="00577A28" w:rsidRPr="009E1A71">
              <w:rPr>
                <w:rFonts w:ascii="Times New Roman" w:hAnsi="Times New Roman" w:cs="Times New Roman"/>
                <w:b/>
                <w:sz w:val="24"/>
                <w:szCs w:val="24"/>
                <w:lang w:val="ru-RU"/>
              </w:rPr>
              <w:t>Обеспечение сбалансированности бюджета</w:t>
            </w:r>
            <w:r w:rsidRPr="009E1A71">
              <w:rPr>
                <w:rFonts w:ascii="Times New Roman" w:hAnsi="Times New Roman" w:cs="Times New Roman"/>
                <w:b/>
                <w:sz w:val="24"/>
                <w:szCs w:val="24"/>
                <w:lang w:val="ru-RU"/>
              </w:rPr>
              <w:t>»</w:t>
            </w:r>
          </w:p>
        </w:tc>
      </w:tr>
      <w:tr w:rsidR="00271443" w:rsidRPr="00414260" w:rsidTr="00037DBB">
        <w:trPr>
          <w:trHeight w:val="30"/>
        </w:trPr>
        <w:tc>
          <w:tcPr>
            <w:tcW w:w="2055" w:type="dxa"/>
          </w:tcPr>
          <w:p w:rsidR="00271443" w:rsidRPr="009E1A71" w:rsidRDefault="005C4F0D" w:rsidP="005C4F0D">
            <w:pPr>
              <w:pStyle w:val="ac"/>
              <w:ind w:right="-33"/>
              <w:rPr>
                <w:color w:val="auto"/>
              </w:rPr>
            </w:pPr>
            <w:r w:rsidRPr="009E1A71">
              <w:rPr>
                <w:rFonts w:eastAsia="Calibri"/>
                <w:color w:val="auto"/>
                <w:lang w:val="kk-KZ" w:eastAsia="en-US"/>
              </w:rPr>
              <w:t>Доля налоговых поступлений консолидирован-ного бюджета в ВВП</w:t>
            </w:r>
          </w:p>
        </w:tc>
        <w:tc>
          <w:tcPr>
            <w:tcW w:w="1059" w:type="dxa"/>
          </w:tcPr>
          <w:p w:rsidR="00271443" w:rsidRPr="009E1A71" w:rsidRDefault="00271443" w:rsidP="00271443">
            <w:pPr>
              <w:spacing w:after="0" w:line="240" w:lineRule="auto"/>
              <w:jc w:val="center"/>
              <w:rPr>
                <w:rFonts w:ascii="Times New Roman" w:hAnsi="Times New Roman"/>
                <w:sz w:val="24"/>
                <w:szCs w:val="24"/>
              </w:rPr>
            </w:pPr>
            <w:proofErr w:type="spellStart"/>
            <w:r w:rsidRPr="009E1A71">
              <w:rPr>
                <w:rFonts w:ascii="Times New Roman" w:hAnsi="Times New Roman"/>
                <w:spacing w:val="2"/>
                <w:sz w:val="24"/>
                <w:szCs w:val="24"/>
              </w:rPr>
              <w:t>Адми-нистра-тивные</w:t>
            </w:r>
            <w:proofErr w:type="spellEnd"/>
            <w:r w:rsidRPr="009E1A71">
              <w:rPr>
                <w:rFonts w:ascii="Times New Roman" w:hAnsi="Times New Roman"/>
                <w:spacing w:val="2"/>
                <w:sz w:val="24"/>
                <w:szCs w:val="24"/>
              </w:rPr>
              <w:t xml:space="preserve"> </w:t>
            </w:r>
            <w:proofErr w:type="spellStart"/>
            <w:r w:rsidRPr="009E1A71">
              <w:rPr>
                <w:rFonts w:ascii="Times New Roman" w:hAnsi="Times New Roman"/>
                <w:spacing w:val="2"/>
                <w:sz w:val="24"/>
                <w:szCs w:val="24"/>
              </w:rPr>
              <w:t>данные</w:t>
            </w:r>
            <w:proofErr w:type="spellEnd"/>
          </w:p>
        </w:tc>
        <w:tc>
          <w:tcPr>
            <w:tcW w:w="850" w:type="dxa"/>
          </w:tcPr>
          <w:p w:rsidR="00271443" w:rsidRPr="009E1A71" w:rsidRDefault="005C4F0D" w:rsidP="00271443">
            <w:pPr>
              <w:pStyle w:val="ac"/>
              <w:ind w:right="-108"/>
              <w:jc w:val="center"/>
              <w:rPr>
                <w:color w:val="auto"/>
              </w:rPr>
            </w:pPr>
            <w:r w:rsidRPr="009E1A71">
              <w:rPr>
                <w:color w:val="auto"/>
              </w:rPr>
              <w:t>%</w:t>
            </w:r>
          </w:p>
        </w:tc>
        <w:tc>
          <w:tcPr>
            <w:tcW w:w="851" w:type="dxa"/>
          </w:tcPr>
          <w:p w:rsidR="00271443" w:rsidRPr="009E1A71" w:rsidRDefault="005C4F0D" w:rsidP="00466A31">
            <w:pPr>
              <w:spacing w:after="0" w:line="240" w:lineRule="auto"/>
              <w:jc w:val="center"/>
              <w:rPr>
                <w:rFonts w:ascii="Times New Roman" w:hAnsi="Times New Roman" w:cs="Times New Roman"/>
                <w:sz w:val="24"/>
                <w:szCs w:val="24"/>
                <w:lang w:val="ru-RU"/>
              </w:rPr>
            </w:pPr>
            <w:r w:rsidRPr="009E1A71">
              <w:rPr>
                <w:rFonts w:ascii="Times New Roman" w:hAnsi="Times New Roman" w:cs="Times New Roman"/>
                <w:sz w:val="24"/>
                <w:szCs w:val="24"/>
                <w:lang w:val="ru-RU"/>
              </w:rPr>
              <w:t>16,9</w:t>
            </w:r>
          </w:p>
        </w:tc>
        <w:tc>
          <w:tcPr>
            <w:tcW w:w="850" w:type="dxa"/>
          </w:tcPr>
          <w:p w:rsidR="00271443" w:rsidRPr="009E1A71" w:rsidRDefault="001A71B4" w:rsidP="00F51344">
            <w:pPr>
              <w:spacing w:after="0" w:line="240" w:lineRule="auto"/>
              <w:jc w:val="center"/>
              <w:rPr>
                <w:rFonts w:ascii="Times New Roman" w:hAnsi="Times New Roman" w:cs="Times New Roman"/>
                <w:sz w:val="24"/>
                <w:szCs w:val="24"/>
                <w:lang w:val="ru-RU"/>
              </w:rPr>
            </w:pPr>
            <w:r w:rsidRPr="009E1A71">
              <w:rPr>
                <w:rFonts w:ascii="Times New Roman" w:hAnsi="Times New Roman" w:cs="Times New Roman"/>
                <w:sz w:val="24"/>
                <w:szCs w:val="24"/>
                <w:lang w:val="ru-RU"/>
              </w:rPr>
              <w:t>18,6</w:t>
            </w:r>
          </w:p>
        </w:tc>
        <w:tc>
          <w:tcPr>
            <w:tcW w:w="4189" w:type="dxa"/>
          </w:tcPr>
          <w:p w:rsidR="00BA3F1F" w:rsidRPr="009E1A71" w:rsidRDefault="00BA3F1F" w:rsidP="00F51344">
            <w:pPr>
              <w:pStyle w:val="ac"/>
              <w:ind w:right="-33"/>
              <w:rPr>
                <w:rFonts w:eastAsia="Calibri"/>
                <w:b/>
                <w:color w:val="auto"/>
                <w:lang w:val="kk-KZ" w:eastAsia="en-US"/>
              </w:rPr>
            </w:pPr>
            <w:r w:rsidRPr="009E1A71">
              <w:rPr>
                <w:rFonts w:eastAsia="Calibri"/>
                <w:b/>
                <w:color w:val="auto"/>
                <w:lang w:val="kk-KZ" w:eastAsia="en-US"/>
              </w:rPr>
              <w:t>На исполнении</w:t>
            </w:r>
          </w:p>
          <w:p w:rsidR="00A73159" w:rsidRPr="009E1A71" w:rsidRDefault="00A73159" w:rsidP="00A73159">
            <w:pPr>
              <w:tabs>
                <w:tab w:val="left" w:pos="993"/>
                <w:tab w:val="left" w:pos="1276"/>
              </w:tabs>
              <w:spacing w:after="0" w:line="240" w:lineRule="auto"/>
              <w:ind w:firstLine="34"/>
              <w:jc w:val="both"/>
              <w:rPr>
                <w:rFonts w:ascii="Times New Roman" w:hAnsi="Times New Roman"/>
                <w:bCs/>
                <w:color w:val="0C0000"/>
                <w:sz w:val="24"/>
                <w:szCs w:val="24"/>
                <w:lang w:val="ru-RU" w:eastAsia="ru-RU"/>
              </w:rPr>
            </w:pPr>
            <w:r w:rsidRPr="009E1A71">
              <w:rPr>
                <w:rFonts w:ascii="Times New Roman" w:hAnsi="Times New Roman"/>
                <w:bCs/>
                <w:color w:val="0C0000"/>
                <w:sz w:val="24"/>
                <w:szCs w:val="24"/>
                <w:lang w:val="ru-RU" w:eastAsia="ru-RU"/>
              </w:rPr>
              <w:t>Доля налоговых поступлений консолидированного бюджета в ВВП по оперативным</w:t>
            </w:r>
            <w:r w:rsidR="00603857" w:rsidRPr="009E1A71">
              <w:rPr>
                <w:rFonts w:ascii="Times New Roman" w:hAnsi="Times New Roman"/>
                <w:bCs/>
                <w:color w:val="0C0000"/>
                <w:sz w:val="24"/>
                <w:szCs w:val="24"/>
                <w:lang w:val="ru-RU" w:eastAsia="ru-RU"/>
              </w:rPr>
              <w:t xml:space="preserve"> данным за 2018 год составляет 18,6</w:t>
            </w:r>
            <w:r w:rsidRPr="009E1A71">
              <w:rPr>
                <w:rFonts w:ascii="Times New Roman" w:hAnsi="Times New Roman"/>
                <w:bCs/>
                <w:color w:val="0C0000"/>
                <w:sz w:val="24"/>
                <w:szCs w:val="24"/>
                <w:lang w:val="ru-RU" w:eastAsia="ru-RU"/>
              </w:rPr>
              <w:t xml:space="preserve">% (при плане 16,9%), по ожидаемому уровню ВВП за 2018 </w:t>
            </w:r>
            <w:r w:rsidRPr="009E1A71">
              <w:rPr>
                <w:rFonts w:ascii="Times New Roman" w:hAnsi="Times New Roman"/>
                <w:bCs/>
                <w:color w:val="0C0000"/>
                <w:sz w:val="24"/>
                <w:szCs w:val="24"/>
                <w:lang w:val="ru-RU" w:eastAsia="ru-RU"/>
              </w:rPr>
              <w:lastRenderedPageBreak/>
              <w:t xml:space="preserve">год </w:t>
            </w:r>
            <w:r w:rsidRPr="009E1A71">
              <w:rPr>
                <w:rFonts w:ascii="Times New Roman" w:hAnsi="Times New Roman"/>
                <w:b/>
                <w:bCs/>
                <w:color w:val="0C0000"/>
                <w:sz w:val="24"/>
                <w:szCs w:val="24"/>
                <w:lang w:val="ru-RU" w:eastAsia="ru-RU"/>
              </w:rPr>
              <w:t xml:space="preserve">58 242,9 </w:t>
            </w:r>
            <w:proofErr w:type="spellStart"/>
            <w:r w:rsidRPr="009E1A71">
              <w:rPr>
                <w:rFonts w:ascii="Times New Roman" w:hAnsi="Times New Roman"/>
                <w:b/>
                <w:bCs/>
                <w:color w:val="0C0000"/>
                <w:sz w:val="24"/>
                <w:szCs w:val="24"/>
                <w:lang w:val="ru-RU" w:eastAsia="ru-RU"/>
              </w:rPr>
              <w:t>млрд</w:t>
            </w:r>
            <w:proofErr w:type="gramStart"/>
            <w:r w:rsidRPr="009E1A71">
              <w:rPr>
                <w:rFonts w:ascii="Times New Roman" w:hAnsi="Times New Roman"/>
                <w:b/>
                <w:bCs/>
                <w:color w:val="0C0000"/>
                <w:sz w:val="24"/>
                <w:szCs w:val="24"/>
                <w:lang w:val="ru-RU" w:eastAsia="ru-RU"/>
              </w:rPr>
              <w:t>.т</w:t>
            </w:r>
            <w:proofErr w:type="gramEnd"/>
            <w:r w:rsidRPr="009E1A71">
              <w:rPr>
                <w:rFonts w:ascii="Times New Roman" w:hAnsi="Times New Roman"/>
                <w:b/>
                <w:bCs/>
                <w:color w:val="0C0000"/>
                <w:sz w:val="24"/>
                <w:szCs w:val="24"/>
                <w:lang w:val="ru-RU" w:eastAsia="ru-RU"/>
              </w:rPr>
              <w:t>енге</w:t>
            </w:r>
            <w:proofErr w:type="spellEnd"/>
            <w:r w:rsidRPr="009E1A71">
              <w:rPr>
                <w:rFonts w:ascii="Times New Roman" w:hAnsi="Times New Roman"/>
                <w:b/>
                <w:bCs/>
                <w:color w:val="0C0000"/>
                <w:sz w:val="24"/>
                <w:szCs w:val="24"/>
                <w:lang w:val="ru-RU" w:eastAsia="ru-RU"/>
              </w:rPr>
              <w:t>.</w:t>
            </w:r>
            <w:r w:rsidRPr="009E1A71">
              <w:rPr>
                <w:rFonts w:ascii="Times New Roman" w:hAnsi="Times New Roman"/>
                <w:bCs/>
                <w:color w:val="0C0000"/>
                <w:sz w:val="24"/>
                <w:szCs w:val="24"/>
                <w:lang w:val="ru-RU" w:eastAsia="ru-RU"/>
              </w:rPr>
              <w:t xml:space="preserve"> Уточненная информация по данному целевому индикатору будет представлена после размещения Комитетом по статистике МНЭ РК данных о ВВП.</w:t>
            </w:r>
          </w:p>
          <w:p w:rsidR="00A73159" w:rsidRPr="009E1A71" w:rsidRDefault="00A73159" w:rsidP="00A73159">
            <w:pPr>
              <w:widowControl w:val="0"/>
              <w:spacing w:after="0" w:line="240" w:lineRule="auto"/>
              <w:ind w:firstLine="34"/>
              <w:contextualSpacing/>
              <w:jc w:val="both"/>
              <w:rPr>
                <w:rFonts w:ascii="Times New Roman" w:eastAsia="Times New Roman" w:hAnsi="Times New Roman" w:cs="Times New Roman"/>
                <w:sz w:val="24"/>
                <w:szCs w:val="24"/>
                <w:lang w:val="kk-KZ" w:eastAsia="ru-RU"/>
              </w:rPr>
            </w:pPr>
            <w:r w:rsidRPr="009E1A71">
              <w:rPr>
                <w:rFonts w:ascii="Times New Roman" w:eastAsia="Times New Roman" w:hAnsi="Times New Roman" w:cs="Times New Roman"/>
                <w:sz w:val="24"/>
                <w:szCs w:val="24"/>
                <w:lang w:val="ru-RU" w:eastAsia="ru-RU"/>
              </w:rPr>
              <w:t xml:space="preserve">Одним из главных инструментов, позволивших обеспечить </w:t>
            </w:r>
            <w:proofErr w:type="spellStart"/>
            <w:proofErr w:type="gramStart"/>
            <w:r w:rsidRPr="009E1A71">
              <w:rPr>
                <w:rFonts w:ascii="Times New Roman" w:eastAsia="Times New Roman" w:hAnsi="Times New Roman" w:cs="Times New Roman"/>
                <w:sz w:val="24"/>
                <w:szCs w:val="24"/>
                <w:lang w:val="ru-RU" w:eastAsia="ru-RU"/>
              </w:rPr>
              <w:t>перевыпол-нение</w:t>
            </w:r>
            <w:proofErr w:type="spellEnd"/>
            <w:proofErr w:type="gramEnd"/>
            <w:r w:rsidRPr="009E1A71">
              <w:rPr>
                <w:rFonts w:ascii="Times New Roman" w:eastAsia="Times New Roman" w:hAnsi="Times New Roman" w:cs="Times New Roman"/>
                <w:sz w:val="24"/>
                <w:szCs w:val="24"/>
                <w:lang w:val="ru-RU" w:eastAsia="ru-RU"/>
              </w:rPr>
              <w:t xml:space="preserve"> плановых поступлений, послужило совершенствование </w:t>
            </w:r>
            <w:proofErr w:type="spellStart"/>
            <w:r w:rsidRPr="009E1A71">
              <w:rPr>
                <w:rFonts w:ascii="Times New Roman" w:eastAsia="Times New Roman" w:hAnsi="Times New Roman" w:cs="Times New Roman"/>
                <w:sz w:val="24"/>
                <w:szCs w:val="24"/>
                <w:lang w:val="ru-RU" w:eastAsia="ru-RU"/>
              </w:rPr>
              <w:t>нало-гового</w:t>
            </w:r>
            <w:proofErr w:type="spellEnd"/>
            <w:r w:rsidRPr="009E1A71">
              <w:rPr>
                <w:rFonts w:ascii="Times New Roman" w:eastAsia="Times New Roman" w:hAnsi="Times New Roman" w:cs="Times New Roman"/>
                <w:sz w:val="24"/>
                <w:szCs w:val="24"/>
                <w:lang w:val="ru-RU" w:eastAsia="ru-RU"/>
              </w:rPr>
              <w:t xml:space="preserve"> и таможенного </w:t>
            </w:r>
            <w:proofErr w:type="spellStart"/>
            <w:r w:rsidRPr="009E1A71">
              <w:rPr>
                <w:rFonts w:ascii="Times New Roman" w:eastAsia="Times New Roman" w:hAnsi="Times New Roman" w:cs="Times New Roman"/>
                <w:sz w:val="24"/>
                <w:szCs w:val="24"/>
                <w:lang w:val="ru-RU" w:eastAsia="ru-RU"/>
              </w:rPr>
              <w:t>администри-рования</w:t>
            </w:r>
            <w:proofErr w:type="spellEnd"/>
            <w:r w:rsidRPr="009E1A71">
              <w:rPr>
                <w:rFonts w:ascii="Times New Roman" w:eastAsia="Times New Roman" w:hAnsi="Times New Roman" w:cs="Times New Roman"/>
                <w:sz w:val="24"/>
                <w:szCs w:val="24"/>
                <w:lang w:val="kk-KZ" w:eastAsia="ru-RU"/>
              </w:rPr>
              <w:t xml:space="preserve">, в результате которого дополнительно поступило </w:t>
            </w:r>
            <w:r w:rsidRPr="009E1A71">
              <w:rPr>
                <w:rFonts w:ascii="Times New Roman" w:eastAsia="Times New Roman" w:hAnsi="Times New Roman" w:cs="Times New Roman"/>
                <w:b/>
                <w:sz w:val="24"/>
                <w:szCs w:val="24"/>
                <w:lang w:val="ru-RU" w:eastAsia="ru-RU"/>
              </w:rPr>
              <w:t>410 млрд</w:t>
            </w:r>
            <w:r w:rsidRPr="009E1A71">
              <w:rPr>
                <w:rFonts w:ascii="Times New Roman" w:eastAsia="Times New Roman" w:hAnsi="Times New Roman" w:cs="Times New Roman"/>
                <w:sz w:val="24"/>
                <w:szCs w:val="24"/>
                <w:lang w:val="ru-RU" w:eastAsia="ru-RU"/>
              </w:rPr>
              <w:t>. тенге, а также за счет:</w:t>
            </w:r>
          </w:p>
          <w:p w:rsidR="00A73159" w:rsidRPr="009E1A71" w:rsidRDefault="00A73159" w:rsidP="00A73159">
            <w:pPr>
              <w:widowControl w:val="0"/>
              <w:spacing w:after="0" w:line="240" w:lineRule="auto"/>
              <w:ind w:firstLine="34"/>
              <w:jc w:val="both"/>
              <w:rPr>
                <w:rFonts w:ascii="Times New Roman" w:eastAsia="Times New Roman" w:hAnsi="Times New Roman" w:cs="Times New Roman"/>
                <w:i/>
                <w:color w:val="0070C0"/>
                <w:sz w:val="24"/>
                <w:szCs w:val="24"/>
                <w:lang w:val="ru-RU" w:eastAsia="ru-RU"/>
              </w:rPr>
            </w:pPr>
            <w:r w:rsidRPr="009E1A71">
              <w:rPr>
                <w:rFonts w:ascii="Times New Roman" w:eastAsia="Times New Roman" w:hAnsi="Times New Roman" w:cs="Times New Roman"/>
                <w:b/>
                <w:sz w:val="24"/>
                <w:szCs w:val="24"/>
                <w:lang w:val="ru-RU" w:eastAsia="ru-RU"/>
              </w:rPr>
              <w:t>- экспортной таможенной пошлины (ЭТП) на нефть</w:t>
            </w:r>
            <w:r w:rsidRPr="009E1A71">
              <w:rPr>
                <w:rFonts w:ascii="Times New Roman" w:eastAsia="Times New Roman" w:hAnsi="Times New Roman" w:cs="Times New Roman"/>
                <w:sz w:val="24"/>
                <w:szCs w:val="24"/>
                <w:lang w:val="ru-RU" w:eastAsia="ru-RU"/>
              </w:rPr>
              <w:t xml:space="preserve"> на </w:t>
            </w:r>
            <w:r w:rsidRPr="009E1A71">
              <w:rPr>
                <w:rFonts w:ascii="Times New Roman" w:eastAsia="Times New Roman" w:hAnsi="Times New Roman" w:cs="Times New Roman"/>
                <w:b/>
                <w:sz w:val="24"/>
                <w:szCs w:val="24"/>
                <w:lang w:val="ru-RU" w:eastAsia="ru-RU"/>
              </w:rPr>
              <w:t>213,5</w:t>
            </w:r>
            <w:r w:rsidRPr="009E1A71">
              <w:rPr>
                <w:rFonts w:ascii="Times New Roman" w:eastAsia="Times New Roman" w:hAnsi="Times New Roman" w:cs="Times New Roman"/>
                <w:sz w:val="24"/>
                <w:szCs w:val="24"/>
                <w:lang w:val="ru-RU" w:eastAsia="ru-RU"/>
              </w:rPr>
              <w:t xml:space="preserve"> млрд. тенге;</w:t>
            </w:r>
          </w:p>
          <w:p w:rsidR="00A73159" w:rsidRPr="009E1A71" w:rsidRDefault="00A73159" w:rsidP="00A73159">
            <w:pPr>
              <w:widowControl w:val="0"/>
              <w:spacing w:after="0" w:line="240" w:lineRule="auto"/>
              <w:ind w:firstLine="34"/>
              <w:jc w:val="both"/>
              <w:rPr>
                <w:rFonts w:ascii="Times New Roman" w:eastAsia="Times New Roman" w:hAnsi="Times New Roman" w:cs="Times New Roman"/>
                <w:b/>
                <w:sz w:val="24"/>
                <w:szCs w:val="24"/>
                <w:lang w:val="ru-RU" w:eastAsia="ru-RU"/>
              </w:rPr>
            </w:pPr>
            <w:r w:rsidRPr="009E1A71">
              <w:rPr>
                <w:rFonts w:ascii="Times New Roman" w:eastAsia="Times New Roman" w:hAnsi="Times New Roman" w:cs="Times New Roman"/>
                <w:b/>
                <w:sz w:val="24"/>
                <w:szCs w:val="24"/>
                <w:lang w:val="ru-RU" w:eastAsia="ru-RU"/>
              </w:rPr>
              <w:t>- налога на добычу полезных ископаемых (НДПИ)</w:t>
            </w:r>
            <w:r w:rsidRPr="009E1A71">
              <w:rPr>
                <w:rFonts w:ascii="Times New Roman" w:eastAsia="Times New Roman" w:hAnsi="Times New Roman" w:cs="Times New Roman"/>
                <w:sz w:val="24"/>
                <w:szCs w:val="24"/>
                <w:lang w:val="ru-RU" w:eastAsia="ru-RU"/>
              </w:rPr>
              <w:t xml:space="preserve"> на </w:t>
            </w:r>
            <w:r w:rsidRPr="009E1A71">
              <w:rPr>
                <w:rFonts w:ascii="Times New Roman" w:eastAsia="Times New Roman" w:hAnsi="Times New Roman" w:cs="Times New Roman"/>
                <w:b/>
                <w:sz w:val="24"/>
                <w:szCs w:val="24"/>
                <w:lang w:val="ru-RU" w:eastAsia="ru-RU"/>
              </w:rPr>
              <w:t>46</w:t>
            </w:r>
            <w:r w:rsidRPr="009E1A71">
              <w:rPr>
                <w:rFonts w:ascii="Times New Roman" w:eastAsia="Times New Roman" w:hAnsi="Times New Roman" w:cs="Times New Roman"/>
                <w:sz w:val="24"/>
                <w:szCs w:val="24"/>
                <w:lang w:val="ru-RU" w:eastAsia="ru-RU"/>
              </w:rPr>
              <w:t xml:space="preserve"> млрд. тенге</w:t>
            </w:r>
            <w:r w:rsidRPr="009E1A71">
              <w:rPr>
                <w:rFonts w:ascii="Times New Roman" w:eastAsia="Times New Roman" w:hAnsi="Times New Roman" w:cs="Times New Roman"/>
                <w:color w:val="0070C0"/>
                <w:sz w:val="24"/>
                <w:szCs w:val="24"/>
                <w:lang w:val="ru-RU" w:eastAsia="ru-RU"/>
              </w:rPr>
              <w:t xml:space="preserve"> </w:t>
            </w:r>
            <w:r w:rsidRPr="009E1A71">
              <w:rPr>
                <w:rFonts w:ascii="Times New Roman" w:eastAsia="Times New Roman" w:hAnsi="Times New Roman" w:cs="Times New Roman"/>
                <w:sz w:val="24"/>
                <w:szCs w:val="24"/>
                <w:lang w:val="ru-RU" w:eastAsia="ru-RU"/>
              </w:rPr>
              <w:t xml:space="preserve">в связи с увеличением средней цены на металлы на </w:t>
            </w:r>
            <w:r w:rsidRPr="009E1A71">
              <w:rPr>
                <w:rFonts w:ascii="Times New Roman" w:eastAsia="Times New Roman" w:hAnsi="Times New Roman" w:cs="Times New Roman"/>
                <w:b/>
                <w:sz w:val="24"/>
                <w:szCs w:val="24"/>
                <w:lang w:val="ru-RU" w:eastAsia="ru-RU"/>
              </w:rPr>
              <w:t>6,5%.</w:t>
            </w:r>
          </w:p>
          <w:p w:rsidR="001A71B4" w:rsidRPr="009E1A71" w:rsidRDefault="00A73159" w:rsidP="00A73159">
            <w:pPr>
              <w:widowControl w:val="0"/>
              <w:spacing w:after="0" w:line="240" w:lineRule="auto"/>
              <w:ind w:firstLine="34"/>
              <w:jc w:val="both"/>
              <w:rPr>
                <w:rFonts w:eastAsia="Calibri"/>
                <w:lang w:val="ru-RU"/>
              </w:rPr>
            </w:pPr>
            <w:r w:rsidRPr="009E1A71">
              <w:rPr>
                <w:rFonts w:ascii="Times New Roman" w:eastAsia="Times New Roman" w:hAnsi="Times New Roman" w:cs="Times New Roman"/>
                <w:sz w:val="24"/>
                <w:szCs w:val="24"/>
                <w:lang w:val="ru-RU" w:eastAsia="ru-RU"/>
              </w:rPr>
              <w:t>По корпоративному подоходному налогу и налогу на добавленную стоимость рост поступлений в сравнении с 2017 годом составил - 148,8 млрд. тенге и - 369,6 млрд. тенге соответственно.</w:t>
            </w:r>
          </w:p>
        </w:tc>
      </w:tr>
      <w:tr w:rsidR="00037DBB" w:rsidRPr="00414260" w:rsidTr="00DA31BE">
        <w:trPr>
          <w:trHeight w:val="30"/>
        </w:trPr>
        <w:tc>
          <w:tcPr>
            <w:tcW w:w="9854" w:type="dxa"/>
            <w:gridSpan w:val="6"/>
          </w:tcPr>
          <w:p w:rsidR="00037DBB" w:rsidRPr="009E1A71" w:rsidRDefault="00037DBB" w:rsidP="007D179F">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lastRenderedPageBreak/>
              <w:t xml:space="preserve">Цель 1.2.  </w:t>
            </w:r>
            <w:r w:rsidR="00577A28" w:rsidRPr="009E1A71">
              <w:rPr>
                <w:rFonts w:ascii="Times New Roman" w:hAnsi="Times New Roman" w:cs="Times New Roman"/>
                <w:b/>
                <w:sz w:val="24"/>
                <w:szCs w:val="24"/>
                <w:lang w:val="ru-RU"/>
              </w:rPr>
              <w:t>«Обеспечение эффективности налогового и таможенного контроля»</w:t>
            </w:r>
          </w:p>
        </w:tc>
      </w:tr>
      <w:tr w:rsidR="00BA3F1F" w:rsidRPr="009E1A71" w:rsidTr="002358A7">
        <w:trPr>
          <w:trHeight w:val="30"/>
        </w:trPr>
        <w:tc>
          <w:tcPr>
            <w:tcW w:w="2055" w:type="dxa"/>
          </w:tcPr>
          <w:p w:rsidR="00BA3F1F" w:rsidRPr="009E1A71" w:rsidRDefault="005C4F0D" w:rsidP="005C4F0D">
            <w:pPr>
              <w:pStyle w:val="ac"/>
              <w:ind w:right="-33"/>
            </w:pPr>
            <w:r w:rsidRPr="009E1A71">
              <w:rPr>
                <w:rFonts w:eastAsia="Calibri"/>
                <w:color w:val="auto"/>
                <w:lang w:val="kk-KZ" w:eastAsia="en-US"/>
              </w:rPr>
              <w:t>Доля результативных проверок по итогам примене-ния СУР на этапе очистки товара</w:t>
            </w:r>
          </w:p>
        </w:tc>
        <w:tc>
          <w:tcPr>
            <w:tcW w:w="1059" w:type="dxa"/>
          </w:tcPr>
          <w:p w:rsidR="00BA3F1F" w:rsidRPr="009E1A71" w:rsidRDefault="005C4F0D" w:rsidP="002358A7">
            <w:pPr>
              <w:pStyle w:val="a5"/>
              <w:spacing w:before="0" w:beforeAutospacing="0" w:after="0" w:afterAutospacing="0"/>
              <w:ind w:hanging="4"/>
              <w:jc w:val="center"/>
              <w:rPr>
                <w:lang w:val="ru-RU"/>
              </w:rPr>
            </w:pPr>
            <w:r w:rsidRPr="009E1A71">
              <w:rPr>
                <w:lang w:val="ru-RU"/>
              </w:rPr>
              <w:t>ИС</w:t>
            </w:r>
          </w:p>
        </w:tc>
        <w:tc>
          <w:tcPr>
            <w:tcW w:w="850" w:type="dxa"/>
          </w:tcPr>
          <w:p w:rsidR="00BA3F1F" w:rsidRPr="009E1A71" w:rsidRDefault="005C4F0D" w:rsidP="00BA3F1F">
            <w:pPr>
              <w:pStyle w:val="a5"/>
              <w:spacing w:before="0" w:beforeAutospacing="0" w:after="0" w:afterAutospacing="0"/>
              <w:ind w:hanging="108"/>
              <w:jc w:val="center"/>
              <w:rPr>
                <w:sz w:val="26"/>
                <w:szCs w:val="26"/>
                <w:lang w:val="ru-RU"/>
              </w:rPr>
            </w:pPr>
            <w:r w:rsidRPr="009E1A71">
              <w:rPr>
                <w:sz w:val="26"/>
                <w:szCs w:val="26"/>
                <w:lang w:val="ru-RU"/>
              </w:rPr>
              <w:t>%</w:t>
            </w:r>
          </w:p>
        </w:tc>
        <w:tc>
          <w:tcPr>
            <w:tcW w:w="851" w:type="dxa"/>
          </w:tcPr>
          <w:p w:rsidR="00BA3F1F" w:rsidRPr="009E1A71" w:rsidRDefault="005C4F0D" w:rsidP="00BA3F1F">
            <w:pPr>
              <w:spacing w:after="0" w:line="240" w:lineRule="auto"/>
              <w:jc w:val="center"/>
              <w:rPr>
                <w:rFonts w:ascii="Times New Roman" w:hAnsi="Times New Roman" w:cs="Times New Roman"/>
                <w:sz w:val="24"/>
                <w:szCs w:val="24"/>
                <w:lang w:val="ru-RU"/>
              </w:rPr>
            </w:pPr>
            <w:r w:rsidRPr="009E1A71">
              <w:rPr>
                <w:rFonts w:ascii="Times New Roman" w:hAnsi="Times New Roman" w:cs="Times New Roman"/>
                <w:sz w:val="24"/>
                <w:szCs w:val="24"/>
                <w:lang w:val="ru-RU"/>
              </w:rPr>
              <w:t>58</w:t>
            </w:r>
          </w:p>
        </w:tc>
        <w:tc>
          <w:tcPr>
            <w:tcW w:w="850" w:type="dxa"/>
          </w:tcPr>
          <w:p w:rsidR="00BA3F1F" w:rsidRPr="009E1A71" w:rsidRDefault="004E1254" w:rsidP="00BA3F1F">
            <w:pPr>
              <w:keepNext/>
              <w:keepLines/>
              <w:tabs>
                <w:tab w:val="left" w:pos="900"/>
                <w:tab w:val="left" w:pos="1080"/>
              </w:tabs>
              <w:spacing w:after="0"/>
              <w:jc w:val="center"/>
              <w:rPr>
                <w:rFonts w:ascii="Times New Roman" w:eastAsia="Times New Roman" w:hAnsi="Times New Roman" w:cs="Times New Roman"/>
                <w:spacing w:val="2"/>
                <w:sz w:val="24"/>
                <w:szCs w:val="24"/>
                <w:lang w:val="kk-KZ" w:eastAsia="ru-RU"/>
              </w:rPr>
            </w:pPr>
            <w:r w:rsidRPr="009E1A71">
              <w:rPr>
                <w:rFonts w:ascii="Times New Roman" w:eastAsia="Times New Roman" w:hAnsi="Times New Roman" w:cs="Times New Roman"/>
                <w:spacing w:val="2"/>
                <w:sz w:val="24"/>
                <w:szCs w:val="24"/>
                <w:lang w:val="kk-KZ" w:eastAsia="ru-RU"/>
              </w:rPr>
              <w:t>60,6</w:t>
            </w:r>
          </w:p>
        </w:tc>
        <w:tc>
          <w:tcPr>
            <w:tcW w:w="4189" w:type="dxa"/>
          </w:tcPr>
          <w:p w:rsidR="002358A7" w:rsidRPr="009E1A71" w:rsidRDefault="002358A7" w:rsidP="002358A7">
            <w:pPr>
              <w:spacing w:after="0" w:line="240" w:lineRule="auto"/>
              <w:rPr>
                <w:rFonts w:ascii="Times New Roman" w:hAnsi="Times New Roman" w:cs="Times New Roman"/>
                <w:b/>
                <w:sz w:val="24"/>
                <w:szCs w:val="24"/>
                <w:lang w:val="ru-RU"/>
              </w:rPr>
            </w:pPr>
            <w:r w:rsidRPr="009E1A71">
              <w:rPr>
                <w:rFonts w:ascii="Times New Roman" w:hAnsi="Times New Roman" w:cs="Times New Roman"/>
                <w:b/>
                <w:sz w:val="24"/>
                <w:szCs w:val="24"/>
                <w:lang w:val="ru-RU"/>
              </w:rPr>
              <w:t>Исполнен</w:t>
            </w:r>
          </w:p>
          <w:p w:rsidR="00BA3F1F" w:rsidRPr="009E1A71" w:rsidRDefault="004E1254" w:rsidP="004E1254">
            <w:pPr>
              <w:pStyle w:val="ac"/>
              <w:pBdr>
                <w:bottom w:val="single" w:sz="4" w:space="0" w:color="FFFFFF"/>
              </w:pBdr>
              <w:ind w:right="-33"/>
              <w:jc w:val="both"/>
              <w:rPr>
                <w:rFonts w:eastAsia="Calibri"/>
                <w:color w:val="auto"/>
                <w:lang w:val="kk-KZ" w:eastAsia="en-US"/>
              </w:rPr>
            </w:pPr>
            <w:r w:rsidRPr="009E1A71">
              <w:rPr>
                <w:rFonts w:eastAsia="Calibri"/>
                <w:color w:val="auto"/>
                <w:lang w:val="kk-KZ" w:eastAsia="en-US"/>
              </w:rPr>
              <w:t>Эффективность СУР при таможенном контроле за 2018 года составила 60,6%. За 2018 год профили риска сработали на 69,1 тыс. ДТ, выявлено 2,8 тыс. нарушений, таможенная стоимость откорректирована по 39,1 тыс. ДТ.</w:t>
            </w:r>
          </w:p>
        </w:tc>
      </w:tr>
      <w:tr w:rsidR="00BA3F1F" w:rsidRPr="00414260" w:rsidTr="00BF14C3">
        <w:trPr>
          <w:trHeight w:val="30"/>
        </w:trPr>
        <w:tc>
          <w:tcPr>
            <w:tcW w:w="2055" w:type="dxa"/>
          </w:tcPr>
          <w:p w:rsidR="00BA3F1F" w:rsidRPr="009E1A71" w:rsidRDefault="005C4F0D" w:rsidP="005C4F0D">
            <w:pPr>
              <w:pStyle w:val="ac"/>
              <w:ind w:right="-33"/>
            </w:pPr>
            <w:r w:rsidRPr="009E1A71">
              <w:rPr>
                <w:rFonts w:eastAsia="Calibri"/>
                <w:color w:val="auto"/>
                <w:lang w:val="kk-KZ" w:eastAsia="en-US"/>
              </w:rPr>
              <w:t>Охват всеобщим декларированием доходов и расходов физических лиц</w:t>
            </w:r>
          </w:p>
        </w:tc>
        <w:tc>
          <w:tcPr>
            <w:tcW w:w="1059" w:type="dxa"/>
            <w:vAlign w:val="center"/>
          </w:tcPr>
          <w:p w:rsidR="00BA3F1F" w:rsidRPr="009E1A71" w:rsidRDefault="00BA3F1F" w:rsidP="00466A31">
            <w:pPr>
              <w:spacing w:after="0" w:line="240" w:lineRule="auto"/>
              <w:jc w:val="center"/>
              <w:rPr>
                <w:rFonts w:ascii="Times New Roman" w:hAnsi="Times New Roman"/>
                <w:sz w:val="24"/>
                <w:szCs w:val="24"/>
                <w:lang w:val="ru-RU"/>
              </w:rPr>
            </w:pPr>
            <w:r w:rsidRPr="009E1A71">
              <w:rPr>
                <w:rFonts w:ascii="Times New Roman" w:hAnsi="Times New Roman"/>
                <w:sz w:val="24"/>
                <w:szCs w:val="24"/>
                <w:lang w:val="ru-RU"/>
              </w:rPr>
              <w:t>Статистические данные КС МНЭ РК</w:t>
            </w:r>
          </w:p>
        </w:tc>
        <w:tc>
          <w:tcPr>
            <w:tcW w:w="850" w:type="dxa"/>
          </w:tcPr>
          <w:p w:rsidR="00BA3F1F" w:rsidRPr="009E1A71" w:rsidRDefault="00BA3F1F" w:rsidP="00BF14C3">
            <w:pPr>
              <w:spacing w:after="0" w:line="240" w:lineRule="auto"/>
              <w:jc w:val="center"/>
              <w:rPr>
                <w:rFonts w:ascii="Times New Roman" w:hAnsi="Times New Roman"/>
                <w:sz w:val="26"/>
                <w:szCs w:val="26"/>
                <w:lang w:val="kk-KZ"/>
              </w:rPr>
            </w:pPr>
            <w:r w:rsidRPr="009E1A71">
              <w:rPr>
                <w:rFonts w:ascii="Times New Roman" w:hAnsi="Times New Roman"/>
                <w:sz w:val="26"/>
                <w:szCs w:val="26"/>
                <w:lang w:val="kk-KZ"/>
              </w:rPr>
              <w:t>млн.</w:t>
            </w:r>
          </w:p>
          <w:p w:rsidR="00BA3F1F" w:rsidRPr="009E1A71" w:rsidRDefault="00BA3F1F" w:rsidP="00BF14C3">
            <w:pPr>
              <w:spacing w:after="0" w:line="240" w:lineRule="auto"/>
              <w:ind w:hanging="108"/>
              <w:jc w:val="center"/>
              <w:rPr>
                <w:rFonts w:ascii="Times New Roman" w:hAnsi="Times New Roman"/>
                <w:sz w:val="26"/>
                <w:szCs w:val="26"/>
                <w:lang w:val="kk-KZ"/>
              </w:rPr>
            </w:pPr>
            <w:r w:rsidRPr="009E1A71">
              <w:rPr>
                <w:rFonts w:ascii="Times New Roman" w:hAnsi="Times New Roman"/>
                <w:sz w:val="26"/>
                <w:szCs w:val="26"/>
                <w:lang w:val="kk-KZ"/>
              </w:rPr>
              <w:t>чело-век</w:t>
            </w:r>
          </w:p>
        </w:tc>
        <w:tc>
          <w:tcPr>
            <w:tcW w:w="851" w:type="dxa"/>
          </w:tcPr>
          <w:p w:rsidR="00BA3F1F" w:rsidRPr="009E1A71" w:rsidRDefault="00BA3F1F" w:rsidP="00BF14C3">
            <w:pPr>
              <w:spacing w:after="0" w:line="240" w:lineRule="auto"/>
              <w:jc w:val="center"/>
              <w:rPr>
                <w:rFonts w:ascii="Times New Roman" w:hAnsi="Times New Roman" w:cs="Times New Roman"/>
                <w:sz w:val="24"/>
                <w:szCs w:val="24"/>
                <w:lang w:val="ru-RU"/>
              </w:rPr>
            </w:pPr>
            <w:r w:rsidRPr="009E1A71">
              <w:rPr>
                <w:rFonts w:ascii="Times New Roman" w:hAnsi="Times New Roman" w:cs="Times New Roman"/>
                <w:sz w:val="24"/>
                <w:szCs w:val="24"/>
                <w:lang w:val="ru-RU"/>
              </w:rPr>
              <w:t>-</w:t>
            </w:r>
          </w:p>
        </w:tc>
        <w:tc>
          <w:tcPr>
            <w:tcW w:w="850" w:type="dxa"/>
          </w:tcPr>
          <w:p w:rsidR="00BA3F1F" w:rsidRPr="009E1A71" w:rsidRDefault="00BA3F1F" w:rsidP="00466A31">
            <w:pPr>
              <w:keepNext/>
              <w:spacing w:after="0" w:line="240" w:lineRule="auto"/>
              <w:jc w:val="center"/>
              <w:rPr>
                <w:rFonts w:ascii="Times New Roman" w:hAnsi="Times New Roman" w:cs="Times New Roman"/>
                <w:lang w:val="ru-RU"/>
              </w:rPr>
            </w:pPr>
            <w:r w:rsidRPr="009E1A71">
              <w:rPr>
                <w:rFonts w:ascii="Times New Roman" w:hAnsi="Times New Roman" w:cs="Times New Roman"/>
                <w:lang w:val="ru-RU"/>
              </w:rPr>
              <w:t>-</w:t>
            </w:r>
          </w:p>
        </w:tc>
        <w:tc>
          <w:tcPr>
            <w:tcW w:w="4189" w:type="dxa"/>
          </w:tcPr>
          <w:p w:rsidR="005F5F00" w:rsidRPr="009E1A71" w:rsidRDefault="005F5F00" w:rsidP="0097481B">
            <w:pPr>
              <w:spacing w:after="0" w:line="240" w:lineRule="auto"/>
              <w:contextualSpacing/>
              <w:jc w:val="both"/>
              <w:rPr>
                <w:rFonts w:ascii="Times New Roman" w:hAnsi="Times New Roman" w:cs="Times New Roman"/>
                <w:b/>
                <w:sz w:val="24"/>
                <w:szCs w:val="24"/>
                <w:lang w:val="ru-RU"/>
              </w:rPr>
            </w:pPr>
            <w:r w:rsidRPr="009E1A71">
              <w:rPr>
                <w:rFonts w:ascii="Times New Roman" w:hAnsi="Times New Roman" w:cs="Times New Roman"/>
                <w:b/>
                <w:sz w:val="24"/>
                <w:szCs w:val="24"/>
                <w:lang w:val="ru-RU"/>
              </w:rPr>
              <w:t>На исполнении</w:t>
            </w:r>
          </w:p>
          <w:p w:rsidR="00BA3F1F" w:rsidRPr="009E1A71" w:rsidRDefault="00BA3F1F" w:rsidP="0097481B">
            <w:pPr>
              <w:spacing w:after="0" w:line="240" w:lineRule="auto"/>
              <w:contextualSpacing/>
              <w:jc w:val="both"/>
              <w:rPr>
                <w:rFonts w:ascii="Times New Roman" w:hAnsi="Times New Roman" w:cs="Times New Roman"/>
                <w:sz w:val="24"/>
                <w:szCs w:val="24"/>
                <w:lang w:val="ru-RU"/>
              </w:rPr>
            </w:pPr>
            <w:r w:rsidRPr="009E1A71">
              <w:rPr>
                <w:rFonts w:ascii="Times New Roman" w:hAnsi="Times New Roman" w:cs="Times New Roman"/>
                <w:sz w:val="24"/>
                <w:szCs w:val="24"/>
                <w:lang w:val="ru-RU"/>
              </w:rPr>
              <w:t xml:space="preserve">Исполнение данного индикатора предусмотрено в 2020 году  </w:t>
            </w:r>
          </w:p>
        </w:tc>
      </w:tr>
      <w:tr w:rsidR="00BA3F1F" w:rsidRPr="00414260" w:rsidTr="00BA3F1F">
        <w:trPr>
          <w:trHeight w:val="30"/>
        </w:trPr>
        <w:tc>
          <w:tcPr>
            <w:tcW w:w="2055" w:type="dxa"/>
          </w:tcPr>
          <w:p w:rsidR="00BA3F1F" w:rsidRPr="009E1A71" w:rsidRDefault="005C4F0D" w:rsidP="005C4F0D">
            <w:pPr>
              <w:pStyle w:val="ac"/>
              <w:tabs>
                <w:tab w:val="left" w:pos="171"/>
              </w:tabs>
              <w:jc w:val="both"/>
              <w:rPr>
                <w:color w:val="auto"/>
              </w:rPr>
            </w:pPr>
            <w:r w:rsidRPr="009E1A71">
              <w:rPr>
                <w:rFonts w:eastAsia="Calibri"/>
                <w:color w:val="auto"/>
                <w:kern w:val="24"/>
              </w:rPr>
              <w:t xml:space="preserve">Доля оконченных производством уголовных дел из </w:t>
            </w:r>
            <w:proofErr w:type="gramStart"/>
            <w:r w:rsidRPr="009E1A71">
              <w:rPr>
                <w:rFonts w:eastAsia="Calibri"/>
                <w:color w:val="auto"/>
                <w:kern w:val="24"/>
              </w:rPr>
              <w:t>числа</w:t>
            </w:r>
            <w:proofErr w:type="gramEnd"/>
            <w:r w:rsidRPr="009E1A71">
              <w:rPr>
                <w:rFonts w:eastAsia="Calibri"/>
                <w:color w:val="auto"/>
                <w:kern w:val="24"/>
              </w:rPr>
              <w:t xml:space="preserve"> находившихся в производстве</w:t>
            </w:r>
          </w:p>
        </w:tc>
        <w:tc>
          <w:tcPr>
            <w:tcW w:w="1059" w:type="dxa"/>
          </w:tcPr>
          <w:p w:rsidR="00BA3F1F" w:rsidRPr="009E1A71" w:rsidRDefault="00BA3F1F" w:rsidP="00466A31">
            <w:pPr>
              <w:pStyle w:val="ac"/>
              <w:jc w:val="center"/>
              <w:rPr>
                <w:color w:val="auto"/>
              </w:rPr>
            </w:pPr>
            <w:r w:rsidRPr="009E1A71">
              <w:rPr>
                <w:color w:val="auto"/>
              </w:rPr>
              <w:t>Статистический отчет 1-М КПССУ ГП</w:t>
            </w:r>
          </w:p>
        </w:tc>
        <w:tc>
          <w:tcPr>
            <w:tcW w:w="850" w:type="dxa"/>
          </w:tcPr>
          <w:p w:rsidR="00BA3F1F" w:rsidRPr="009E1A71" w:rsidRDefault="00BA3F1F" w:rsidP="00BA3F1F">
            <w:pPr>
              <w:pStyle w:val="ac"/>
              <w:jc w:val="center"/>
              <w:rPr>
                <w:color w:val="auto"/>
                <w:sz w:val="26"/>
                <w:szCs w:val="26"/>
              </w:rPr>
            </w:pPr>
            <w:r w:rsidRPr="009E1A71">
              <w:rPr>
                <w:color w:val="auto"/>
                <w:sz w:val="26"/>
                <w:szCs w:val="26"/>
              </w:rPr>
              <w:t>%</w:t>
            </w:r>
          </w:p>
        </w:tc>
        <w:tc>
          <w:tcPr>
            <w:tcW w:w="851" w:type="dxa"/>
          </w:tcPr>
          <w:p w:rsidR="00BA3F1F" w:rsidRPr="009E1A71" w:rsidRDefault="005C4F0D" w:rsidP="00BA3F1F">
            <w:pPr>
              <w:spacing w:after="0" w:line="240" w:lineRule="auto"/>
              <w:jc w:val="center"/>
              <w:rPr>
                <w:rFonts w:ascii="Times New Roman" w:hAnsi="Times New Roman" w:cs="Times New Roman"/>
                <w:sz w:val="24"/>
                <w:szCs w:val="24"/>
                <w:lang w:val="ru-RU"/>
              </w:rPr>
            </w:pPr>
            <w:r w:rsidRPr="009E1A71">
              <w:rPr>
                <w:rFonts w:ascii="Times New Roman" w:hAnsi="Times New Roman" w:cs="Times New Roman"/>
                <w:sz w:val="24"/>
                <w:szCs w:val="24"/>
                <w:lang w:val="ru-RU"/>
              </w:rPr>
              <w:t>55,5</w:t>
            </w:r>
          </w:p>
        </w:tc>
        <w:tc>
          <w:tcPr>
            <w:tcW w:w="850" w:type="dxa"/>
          </w:tcPr>
          <w:p w:rsidR="00BA3F1F" w:rsidRPr="009E1A71" w:rsidRDefault="005C4F0D" w:rsidP="005C4F0D">
            <w:pPr>
              <w:keepNext/>
              <w:keepLines/>
              <w:tabs>
                <w:tab w:val="left" w:pos="900"/>
                <w:tab w:val="left" w:pos="1080"/>
              </w:tabs>
              <w:spacing w:after="0"/>
              <w:jc w:val="center"/>
              <w:rPr>
                <w:rFonts w:ascii="Times New Roman" w:eastAsia="Times New Roman" w:hAnsi="Times New Roman" w:cs="Times New Roman"/>
                <w:sz w:val="24"/>
                <w:szCs w:val="24"/>
                <w:lang w:val="kk-KZ" w:eastAsia="ru-RU"/>
              </w:rPr>
            </w:pPr>
            <w:r w:rsidRPr="009E1A71">
              <w:rPr>
                <w:rFonts w:ascii="Times New Roman" w:eastAsia="Times New Roman" w:hAnsi="Times New Roman" w:cs="Times New Roman"/>
                <w:sz w:val="24"/>
                <w:szCs w:val="24"/>
                <w:lang w:val="kk-KZ" w:eastAsia="ru-RU"/>
              </w:rPr>
              <w:t>71</w:t>
            </w:r>
            <w:r w:rsidR="00BA3F1F" w:rsidRPr="009E1A71">
              <w:rPr>
                <w:rFonts w:ascii="Times New Roman" w:eastAsia="Times New Roman" w:hAnsi="Times New Roman" w:cs="Times New Roman"/>
                <w:sz w:val="24"/>
                <w:szCs w:val="24"/>
                <w:lang w:val="kk-KZ" w:eastAsia="ru-RU"/>
              </w:rPr>
              <w:t>,</w:t>
            </w:r>
            <w:r w:rsidRPr="009E1A71">
              <w:rPr>
                <w:rFonts w:ascii="Times New Roman" w:eastAsia="Times New Roman" w:hAnsi="Times New Roman" w:cs="Times New Roman"/>
                <w:sz w:val="24"/>
                <w:szCs w:val="24"/>
                <w:lang w:val="kk-KZ" w:eastAsia="ru-RU"/>
              </w:rPr>
              <w:t>3</w:t>
            </w:r>
          </w:p>
        </w:tc>
        <w:tc>
          <w:tcPr>
            <w:tcW w:w="4189" w:type="dxa"/>
          </w:tcPr>
          <w:p w:rsidR="002358A7" w:rsidRPr="009E1A71" w:rsidRDefault="002358A7" w:rsidP="002358A7">
            <w:pPr>
              <w:spacing w:after="0" w:line="240" w:lineRule="auto"/>
              <w:rPr>
                <w:rFonts w:ascii="Times New Roman" w:hAnsi="Times New Roman" w:cs="Times New Roman"/>
                <w:b/>
                <w:sz w:val="24"/>
                <w:szCs w:val="24"/>
                <w:lang w:val="ru-RU"/>
              </w:rPr>
            </w:pPr>
            <w:r w:rsidRPr="009E1A71">
              <w:rPr>
                <w:rFonts w:ascii="Times New Roman" w:hAnsi="Times New Roman" w:cs="Times New Roman"/>
                <w:b/>
                <w:sz w:val="24"/>
                <w:szCs w:val="24"/>
                <w:lang w:val="ru-RU"/>
              </w:rPr>
              <w:t>Исполнен</w:t>
            </w:r>
          </w:p>
          <w:p w:rsidR="00BA3F1F" w:rsidRPr="009E1A71" w:rsidRDefault="004E1254" w:rsidP="004E1254">
            <w:pPr>
              <w:spacing w:after="0" w:line="240" w:lineRule="auto"/>
              <w:contextualSpacing/>
              <w:jc w:val="both"/>
              <w:rPr>
                <w:rFonts w:ascii="Times New Roman" w:hAnsi="Times New Roman" w:cs="Times New Roman"/>
                <w:sz w:val="28"/>
                <w:szCs w:val="28"/>
                <w:lang w:val="ru-RU"/>
              </w:rPr>
            </w:pPr>
            <w:r w:rsidRPr="009E1A71">
              <w:rPr>
                <w:rFonts w:ascii="Times New Roman" w:hAnsi="Times New Roman" w:cs="Times New Roman"/>
                <w:sz w:val="24"/>
                <w:szCs w:val="24"/>
                <w:lang w:val="ru-RU"/>
              </w:rPr>
              <w:t xml:space="preserve">Доля оконченных дел от числа находившихся в производстве – 71,3%,. Направлено в суд – 1 400 или 45,3% и прекращено по </w:t>
            </w:r>
            <w:proofErr w:type="spellStart"/>
            <w:r w:rsidRPr="009E1A71">
              <w:rPr>
                <w:rFonts w:ascii="Times New Roman" w:hAnsi="Times New Roman" w:cs="Times New Roman"/>
                <w:sz w:val="24"/>
                <w:szCs w:val="24"/>
                <w:lang w:val="ru-RU"/>
              </w:rPr>
              <w:t>нереабилитирующим</w:t>
            </w:r>
            <w:proofErr w:type="spellEnd"/>
            <w:r w:rsidRPr="009E1A71">
              <w:rPr>
                <w:rFonts w:ascii="Times New Roman" w:hAnsi="Times New Roman" w:cs="Times New Roman"/>
                <w:sz w:val="24"/>
                <w:szCs w:val="24"/>
                <w:lang w:val="ru-RU"/>
              </w:rPr>
              <w:t xml:space="preserve"> основаниям от количества оконченных 54,7% или 1 693 дела</w:t>
            </w:r>
          </w:p>
        </w:tc>
      </w:tr>
      <w:tr w:rsidR="00D61190" w:rsidRPr="00414260" w:rsidTr="00D61190">
        <w:trPr>
          <w:trHeight w:val="30"/>
        </w:trPr>
        <w:tc>
          <w:tcPr>
            <w:tcW w:w="2055" w:type="dxa"/>
          </w:tcPr>
          <w:p w:rsidR="00D61190" w:rsidRPr="009E1A71" w:rsidRDefault="00D61190" w:rsidP="00014FAE">
            <w:pPr>
              <w:pStyle w:val="ac"/>
              <w:tabs>
                <w:tab w:val="left" w:pos="171"/>
              </w:tabs>
              <w:jc w:val="both"/>
              <w:rPr>
                <w:bCs/>
                <w:color w:val="auto"/>
              </w:rPr>
            </w:pPr>
            <w:r w:rsidRPr="009E1A71">
              <w:rPr>
                <w:bCs/>
                <w:color w:val="auto"/>
              </w:rPr>
              <w:t xml:space="preserve">Оборот налогоплательщиков, имеющих </w:t>
            </w:r>
            <w:r w:rsidRPr="009E1A71">
              <w:rPr>
                <w:bCs/>
                <w:color w:val="auto"/>
              </w:rPr>
              <w:lastRenderedPageBreak/>
              <w:t>риски наличия теневых оборотов</w:t>
            </w:r>
          </w:p>
        </w:tc>
        <w:tc>
          <w:tcPr>
            <w:tcW w:w="1059" w:type="dxa"/>
          </w:tcPr>
          <w:p w:rsidR="00D61190" w:rsidRPr="009E1A71" w:rsidRDefault="00D61190" w:rsidP="00466A31">
            <w:pPr>
              <w:pStyle w:val="ac"/>
              <w:jc w:val="center"/>
              <w:rPr>
                <w:bCs/>
                <w:color w:val="auto"/>
              </w:rPr>
            </w:pPr>
            <w:proofErr w:type="spellStart"/>
            <w:proofErr w:type="gramStart"/>
            <w:r w:rsidRPr="009E1A71">
              <w:rPr>
                <w:color w:val="auto"/>
                <w:spacing w:val="2"/>
              </w:rPr>
              <w:lastRenderedPageBreak/>
              <w:t>Администра-тивные</w:t>
            </w:r>
            <w:proofErr w:type="spellEnd"/>
            <w:proofErr w:type="gramEnd"/>
            <w:r w:rsidRPr="009E1A71">
              <w:rPr>
                <w:color w:val="auto"/>
                <w:spacing w:val="2"/>
              </w:rPr>
              <w:t xml:space="preserve"> </w:t>
            </w:r>
            <w:r w:rsidRPr="009E1A71">
              <w:rPr>
                <w:color w:val="auto"/>
                <w:spacing w:val="2"/>
              </w:rPr>
              <w:lastRenderedPageBreak/>
              <w:t>данные</w:t>
            </w:r>
          </w:p>
        </w:tc>
        <w:tc>
          <w:tcPr>
            <w:tcW w:w="850" w:type="dxa"/>
          </w:tcPr>
          <w:p w:rsidR="00D61190" w:rsidRPr="009E1A71" w:rsidRDefault="00D61190" w:rsidP="00D61190">
            <w:pPr>
              <w:pStyle w:val="ac"/>
              <w:jc w:val="center"/>
              <w:rPr>
                <w:bCs/>
                <w:color w:val="auto"/>
                <w:sz w:val="26"/>
                <w:szCs w:val="26"/>
              </w:rPr>
            </w:pPr>
            <w:proofErr w:type="spellStart"/>
            <w:r w:rsidRPr="009E1A71">
              <w:rPr>
                <w:bCs/>
                <w:color w:val="auto"/>
                <w:sz w:val="26"/>
                <w:szCs w:val="26"/>
              </w:rPr>
              <w:lastRenderedPageBreak/>
              <w:t>млрд</w:t>
            </w:r>
            <w:proofErr w:type="gramStart"/>
            <w:r w:rsidRPr="009E1A71">
              <w:rPr>
                <w:bCs/>
                <w:color w:val="auto"/>
                <w:sz w:val="26"/>
                <w:szCs w:val="26"/>
              </w:rPr>
              <w:t>.т</w:t>
            </w:r>
            <w:proofErr w:type="gramEnd"/>
            <w:r w:rsidRPr="009E1A71">
              <w:rPr>
                <w:bCs/>
                <w:color w:val="auto"/>
                <w:sz w:val="26"/>
                <w:szCs w:val="26"/>
              </w:rPr>
              <w:t>г</w:t>
            </w:r>
            <w:proofErr w:type="spellEnd"/>
          </w:p>
        </w:tc>
        <w:tc>
          <w:tcPr>
            <w:tcW w:w="851" w:type="dxa"/>
          </w:tcPr>
          <w:p w:rsidR="00D61190" w:rsidRPr="009E1A71" w:rsidRDefault="00D61190" w:rsidP="005C4F0D">
            <w:pPr>
              <w:spacing w:after="0" w:line="240" w:lineRule="auto"/>
              <w:jc w:val="center"/>
              <w:rPr>
                <w:rFonts w:ascii="Times New Roman" w:hAnsi="Times New Roman" w:cs="Times New Roman"/>
                <w:sz w:val="24"/>
                <w:szCs w:val="24"/>
                <w:lang w:val="ru-RU"/>
              </w:rPr>
            </w:pPr>
            <w:r w:rsidRPr="009E1A71">
              <w:rPr>
                <w:rFonts w:ascii="Times New Roman" w:hAnsi="Times New Roman" w:cs="Times New Roman"/>
                <w:sz w:val="24"/>
                <w:szCs w:val="24"/>
                <w:lang w:val="ru-RU"/>
              </w:rPr>
              <w:t>7</w:t>
            </w:r>
            <w:r w:rsidR="005C4F0D" w:rsidRPr="009E1A71">
              <w:rPr>
                <w:rFonts w:ascii="Times New Roman" w:hAnsi="Times New Roman" w:cs="Times New Roman"/>
                <w:sz w:val="24"/>
                <w:szCs w:val="24"/>
                <w:lang w:val="ru-RU"/>
              </w:rPr>
              <w:t>0</w:t>
            </w:r>
            <w:r w:rsidRPr="009E1A71">
              <w:rPr>
                <w:rFonts w:ascii="Times New Roman" w:hAnsi="Times New Roman" w:cs="Times New Roman"/>
                <w:sz w:val="24"/>
                <w:szCs w:val="24"/>
                <w:lang w:val="ru-RU"/>
              </w:rPr>
              <w:t>0</w:t>
            </w:r>
          </w:p>
        </w:tc>
        <w:tc>
          <w:tcPr>
            <w:tcW w:w="850" w:type="dxa"/>
          </w:tcPr>
          <w:p w:rsidR="00D61190" w:rsidRPr="009E1A71" w:rsidRDefault="00D61190" w:rsidP="00B35FB1">
            <w:pPr>
              <w:keepNext/>
              <w:keepLines/>
              <w:tabs>
                <w:tab w:val="left" w:pos="900"/>
                <w:tab w:val="left" w:pos="1080"/>
              </w:tabs>
              <w:spacing w:after="0"/>
              <w:jc w:val="center"/>
              <w:rPr>
                <w:rFonts w:ascii="Times New Roman" w:eastAsia="Times New Roman" w:hAnsi="Times New Roman" w:cs="Times New Roman"/>
                <w:b/>
                <w:sz w:val="24"/>
                <w:szCs w:val="24"/>
                <w:lang w:val="ru-RU" w:eastAsia="ru-RU"/>
              </w:rPr>
            </w:pPr>
            <w:r w:rsidRPr="009E1A71">
              <w:rPr>
                <w:rFonts w:ascii="Times New Roman" w:eastAsia="Times New Roman" w:hAnsi="Times New Roman" w:cs="Times New Roman"/>
                <w:b/>
                <w:sz w:val="24"/>
                <w:szCs w:val="24"/>
                <w:lang w:val="ru-RU" w:eastAsia="ru-RU"/>
              </w:rPr>
              <w:t>-</w:t>
            </w:r>
          </w:p>
        </w:tc>
        <w:tc>
          <w:tcPr>
            <w:tcW w:w="4189" w:type="dxa"/>
          </w:tcPr>
          <w:p w:rsidR="00D61190" w:rsidRPr="009E1A71" w:rsidRDefault="00D61190" w:rsidP="00B35FB1">
            <w:pPr>
              <w:tabs>
                <w:tab w:val="left" w:pos="993"/>
                <w:tab w:val="left" w:pos="1134"/>
                <w:tab w:val="left" w:pos="1276"/>
              </w:tabs>
              <w:spacing w:after="0" w:line="240" w:lineRule="auto"/>
              <w:jc w:val="both"/>
              <w:rPr>
                <w:rFonts w:ascii="Times New Roman" w:eastAsia="Times New Roman" w:hAnsi="Times New Roman" w:cs="Times New Roman"/>
                <w:b/>
                <w:sz w:val="24"/>
                <w:szCs w:val="24"/>
                <w:lang w:val="ru-RU" w:eastAsia="ru-RU"/>
              </w:rPr>
            </w:pPr>
            <w:r w:rsidRPr="009E1A71">
              <w:rPr>
                <w:rFonts w:ascii="Times New Roman" w:eastAsia="Times New Roman" w:hAnsi="Times New Roman" w:cs="Times New Roman"/>
                <w:b/>
                <w:sz w:val="24"/>
                <w:szCs w:val="24"/>
                <w:lang w:val="ru-RU" w:eastAsia="ru-RU"/>
              </w:rPr>
              <w:t>На исполнении</w:t>
            </w:r>
            <w:r w:rsidR="005C4F0D" w:rsidRPr="009E1A71">
              <w:rPr>
                <w:rFonts w:ascii="Times New Roman" w:eastAsia="Times New Roman" w:hAnsi="Times New Roman" w:cs="Times New Roman"/>
                <w:b/>
                <w:sz w:val="24"/>
                <w:szCs w:val="24"/>
                <w:lang w:val="ru-RU" w:eastAsia="ru-RU"/>
              </w:rPr>
              <w:t xml:space="preserve"> </w:t>
            </w:r>
          </w:p>
          <w:p w:rsidR="00D61190" w:rsidRPr="009E1A71" w:rsidRDefault="004B3D6A" w:rsidP="004B3D6A">
            <w:pPr>
              <w:spacing w:after="0" w:line="240" w:lineRule="auto"/>
              <w:jc w:val="both"/>
              <w:rPr>
                <w:rFonts w:ascii="Times New Roman" w:hAnsi="Times New Roman"/>
                <w:bCs/>
                <w:sz w:val="24"/>
                <w:szCs w:val="24"/>
                <w:lang w:val="ru-RU"/>
              </w:rPr>
            </w:pPr>
            <w:r w:rsidRPr="009E1A71">
              <w:rPr>
                <w:rFonts w:ascii="Times New Roman" w:hAnsi="Times New Roman"/>
                <w:bCs/>
                <w:sz w:val="24"/>
                <w:szCs w:val="24"/>
                <w:lang w:val="ru-RU"/>
              </w:rPr>
              <w:t xml:space="preserve">Расчет данного целевого индикатора, производится по сведениям из форм </w:t>
            </w:r>
            <w:r w:rsidRPr="009E1A71">
              <w:rPr>
                <w:rFonts w:ascii="Times New Roman" w:hAnsi="Times New Roman"/>
                <w:bCs/>
                <w:sz w:val="24"/>
                <w:szCs w:val="24"/>
                <w:lang w:val="ru-RU"/>
              </w:rPr>
              <w:lastRenderedPageBreak/>
              <w:t xml:space="preserve">налоговой отчетности по НДС (ФНО 300.00) за соответствующий налоговый период. </w:t>
            </w:r>
            <w:proofErr w:type="gramStart"/>
            <w:r w:rsidRPr="009E1A71">
              <w:rPr>
                <w:rFonts w:ascii="Times New Roman" w:hAnsi="Times New Roman"/>
                <w:bCs/>
                <w:sz w:val="24"/>
                <w:szCs w:val="24"/>
                <w:lang w:val="ru-RU"/>
              </w:rPr>
              <w:t>Согласно налогового законодательства сроки представления ФНО 300.00 «Декларация по налогу на добавленную стоимость» за 4 квартал 2018 года не позднее 15 числа второго месяца, следующего за отчетным налоговым периодом, то есть 15 февраля 2019 года, после чего, необходимо дополнительное время для проведения анализа представленных деклараций и выявления вышеуказанных признаков не менее 1 месяца, после которого будут представлен отчет об исполнении</w:t>
            </w:r>
            <w:proofErr w:type="gramEnd"/>
            <w:r w:rsidRPr="009E1A71">
              <w:rPr>
                <w:rFonts w:ascii="Times New Roman" w:hAnsi="Times New Roman"/>
                <w:bCs/>
                <w:sz w:val="24"/>
                <w:szCs w:val="24"/>
                <w:lang w:val="ru-RU"/>
              </w:rPr>
              <w:t xml:space="preserve"> целевого индикатора.</w:t>
            </w:r>
          </w:p>
          <w:p w:rsidR="00A73159" w:rsidRPr="009E1A71" w:rsidRDefault="00A73159" w:rsidP="004B3D6A">
            <w:pPr>
              <w:spacing w:after="0" w:line="240" w:lineRule="auto"/>
              <w:jc w:val="both"/>
              <w:rPr>
                <w:rFonts w:ascii="Times New Roman" w:hAnsi="Times New Roman"/>
                <w:bCs/>
                <w:sz w:val="24"/>
                <w:szCs w:val="28"/>
                <w:lang w:val="ru-RU"/>
              </w:rPr>
            </w:pPr>
            <w:r w:rsidRPr="009E1A71">
              <w:rPr>
                <w:rFonts w:ascii="Times New Roman" w:hAnsi="Times New Roman"/>
                <w:bCs/>
                <w:sz w:val="24"/>
                <w:szCs w:val="28"/>
                <w:lang w:val="ru-RU"/>
              </w:rPr>
              <w:t xml:space="preserve">С учетом сроков представления налоговой отчетности (15.02.2019г.), предлагается учесть в расчете индикатора 4 квартал предыдущего года (2017г.) и 1- 3 кварталы 2018 года. Так за 4 квартал 2017 года оборот налогоплательщиков, имеющих риски наличия теневых оборотов составил 214 </w:t>
            </w:r>
            <w:proofErr w:type="spellStart"/>
            <w:r w:rsidRPr="009E1A71">
              <w:rPr>
                <w:rFonts w:ascii="Times New Roman" w:hAnsi="Times New Roman"/>
                <w:bCs/>
                <w:sz w:val="24"/>
                <w:szCs w:val="28"/>
                <w:lang w:val="ru-RU"/>
              </w:rPr>
              <w:t>млрд</w:t>
            </w:r>
            <w:proofErr w:type="gramStart"/>
            <w:r w:rsidRPr="009E1A71">
              <w:rPr>
                <w:rFonts w:ascii="Times New Roman" w:hAnsi="Times New Roman"/>
                <w:bCs/>
                <w:sz w:val="24"/>
                <w:szCs w:val="28"/>
                <w:lang w:val="ru-RU"/>
              </w:rPr>
              <w:t>.т</w:t>
            </w:r>
            <w:proofErr w:type="gramEnd"/>
            <w:r w:rsidRPr="009E1A71">
              <w:rPr>
                <w:rFonts w:ascii="Times New Roman" w:hAnsi="Times New Roman"/>
                <w:bCs/>
                <w:sz w:val="24"/>
                <w:szCs w:val="28"/>
                <w:lang w:val="ru-RU"/>
              </w:rPr>
              <w:t>енге</w:t>
            </w:r>
            <w:proofErr w:type="spellEnd"/>
            <w:r w:rsidRPr="009E1A71">
              <w:rPr>
                <w:rFonts w:ascii="Times New Roman" w:hAnsi="Times New Roman"/>
                <w:bCs/>
                <w:sz w:val="24"/>
                <w:szCs w:val="28"/>
                <w:lang w:val="ru-RU"/>
              </w:rPr>
              <w:t xml:space="preserve">, за 9 месяцев 2018 года – 400,5 </w:t>
            </w:r>
            <w:proofErr w:type="spellStart"/>
            <w:r w:rsidRPr="009E1A71">
              <w:rPr>
                <w:rFonts w:ascii="Times New Roman" w:hAnsi="Times New Roman"/>
                <w:bCs/>
                <w:sz w:val="24"/>
                <w:szCs w:val="28"/>
                <w:lang w:val="ru-RU"/>
              </w:rPr>
              <w:t>млрд.тенге</w:t>
            </w:r>
            <w:proofErr w:type="spellEnd"/>
            <w:r w:rsidRPr="009E1A71">
              <w:rPr>
                <w:rFonts w:ascii="Times New Roman" w:hAnsi="Times New Roman"/>
                <w:bCs/>
                <w:sz w:val="24"/>
                <w:szCs w:val="28"/>
                <w:lang w:val="ru-RU"/>
              </w:rPr>
              <w:t xml:space="preserve">. Итого – 614,5 </w:t>
            </w:r>
            <w:proofErr w:type="spellStart"/>
            <w:r w:rsidRPr="009E1A71">
              <w:rPr>
                <w:rFonts w:ascii="Times New Roman" w:hAnsi="Times New Roman"/>
                <w:bCs/>
                <w:sz w:val="24"/>
                <w:szCs w:val="28"/>
                <w:lang w:val="ru-RU"/>
              </w:rPr>
              <w:t>млдр</w:t>
            </w:r>
            <w:proofErr w:type="gramStart"/>
            <w:r w:rsidRPr="009E1A71">
              <w:rPr>
                <w:rFonts w:ascii="Times New Roman" w:hAnsi="Times New Roman"/>
                <w:bCs/>
                <w:sz w:val="24"/>
                <w:szCs w:val="28"/>
                <w:lang w:val="ru-RU"/>
              </w:rPr>
              <w:t>.т</w:t>
            </w:r>
            <w:proofErr w:type="gramEnd"/>
            <w:r w:rsidRPr="009E1A71">
              <w:rPr>
                <w:rFonts w:ascii="Times New Roman" w:hAnsi="Times New Roman"/>
                <w:bCs/>
                <w:sz w:val="24"/>
                <w:szCs w:val="28"/>
                <w:lang w:val="ru-RU"/>
              </w:rPr>
              <w:t>енге</w:t>
            </w:r>
            <w:proofErr w:type="spellEnd"/>
            <w:r w:rsidRPr="009E1A71">
              <w:rPr>
                <w:rFonts w:ascii="Times New Roman" w:hAnsi="Times New Roman"/>
                <w:bCs/>
                <w:sz w:val="24"/>
                <w:szCs w:val="28"/>
                <w:lang w:val="ru-RU"/>
              </w:rPr>
              <w:t xml:space="preserve"> (при плане  – 700 </w:t>
            </w:r>
            <w:proofErr w:type="spellStart"/>
            <w:r w:rsidRPr="009E1A71">
              <w:rPr>
                <w:rFonts w:ascii="Times New Roman" w:hAnsi="Times New Roman"/>
                <w:bCs/>
                <w:sz w:val="24"/>
                <w:szCs w:val="28"/>
                <w:lang w:val="ru-RU"/>
              </w:rPr>
              <w:t>млрд.тенге</w:t>
            </w:r>
            <w:proofErr w:type="spellEnd"/>
            <w:r w:rsidRPr="009E1A71">
              <w:rPr>
                <w:rFonts w:ascii="Times New Roman" w:hAnsi="Times New Roman"/>
                <w:bCs/>
                <w:sz w:val="24"/>
                <w:szCs w:val="28"/>
                <w:lang w:val="ru-RU"/>
              </w:rPr>
              <w:t xml:space="preserve">). </w:t>
            </w:r>
          </w:p>
        </w:tc>
      </w:tr>
      <w:tr w:rsidR="00BA3F1F" w:rsidRPr="00414260" w:rsidTr="00DA31BE">
        <w:trPr>
          <w:trHeight w:val="30"/>
        </w:trPr>
        <w:tc>
          <w:tcPr>
            <w:tcW w:w="9854" w:type="dxa"/>
            <w:gridSpan w:val="6"/>
          </w:tcPr>
          <w:p w:rsidR="00BA3F1F" w:rsidRPr="009E1A71" w:rsidRDefault="00BA3F1F" w:rsidP="00577A28">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lastRenderedPageBreak/>
              <w:t>Стратегическое направление 2 «Модернизация системы администрирования государственных активов и финансов»</w:t>
            </w:r>
          </w:p>
        </w:tc>
      </w:tr>
      <w:tr w:rsidR="00BA3F1F" w:rsidRPr="00414260" w:rsidTr="00DA31BE">
        <w:trPr>
          <w:trHeight w:val="30"/>
        </w:trPr>
        <w:tc>
          <w:tcPr>
            <w:tcW w:w="9854" w:type="dxa"/>
            <w:gridSpan w:val="6"/>
          </w:tcPr>
          <w:p w:rsidR="00BA3F1F" w:rsidRPr="009E1A71" w:rsidRDefault="00BA3F1F" w:rsidP="00577A28">
            <w:pPr>
              <w:spacing w:after="0" w:line="240" w:lineRule="auto"/>
              <w:jc w:val="center"/>
              <w:rPr>
                <w:rFonts w:ascii="Times New Roman" w:hAnsi="Times New Roman" w:cs="Times New Roman"/>
                <w:b/>
                <w:sz w:val="24"/>
                <w:szCs w:val="24"/>
                <w:lang w:val="ru-RU"/>
              </w:rPr>
            </w:pPr>
            <w:r w:rsidRPr="009E1A71">
              <w:rPr>
                <w:rFonts w:ascii="Times New Roman" w:hAnsi="Times New Roman" w:cs="Times New Roman"/>
                <w:b/>
                <w:sz w:val="24"/>
                <w:szCs w:val="24"/>
                <w:lang w:val="ru-RU"/>
              </w:rPr>
              <w:t>Цель 2.2. «Создание благоприятной бизнес – среды и снижение административных барьеров для бизнеса и населения»</w:t>
            </w:r>
          </w:p>
        </w:tc>
      </w:tr>
      <w:tr w:rsidR="00626A84" w:rsidRPr="009E1A71" w:rsidTr="00CE721D">
        <w:trPr>
          <w:trHeight w:val="30"/>
        </w:trPr>
        <w:tc>
          <w:tcPr>
            <w:tcW w:w="2055" w:type="dxa"/>
          </w:tcPr>
          <w:p w:rsidR="00626A84" w:rsidRPr="009E1A71" w:rsidRDefault="00626A84" w:rsidP="00F51344">
            <w:pPr>
              <w:pStyle w:val="ac"/>
              <w:tabs>
                <w:tab w:val="left" w:pos="313"/>
                <w:tab w:val="left" w:pos="454"/>
              </w:tabs>
              <w:jc w:val="both"/>
              <w:rPr>
                <w:color w:val="auto"/>
              </w:rPr>
            </w:pPr>
            <w:r w:rsidRPr="009E1A71">
              <w:rPr>
                <w:color w:val="auto"/>
              </w:rPr>
              <w:t>Сокращение времени таможенной очистки товаров</w:t>
            </w:r>
          </w:p>
        </w:tc>
        <w:tc>
          <w:tcPr>
            <w:tcW w:w="1059" w:type="dxa"/>
          </w:tcPr>
          <w:p w:rsidR="00626A84" w:rsidRPr="009E1A71" w:rsidRDefault="00626A84" w:rsidP="00B8206F">
            <w:pPr>
              <w:pStyle w:val="ac"/>
              <w:jc w:val="center"/>
              <w:rPr>
                <w:color w:val="auto"/>
                <w:spacing w:val="2"/>
              </w:rPr>
            </w:pPr>
            <w:proofErr w:type="spellStart"/>
            <w:r w:rsidRPr="009E1A71">
              <w:rPr>
                <w:color w:val="auto"/>
                <w:spacing w:val="2"/>
              </w:rPr>
              <w:t>Адми-нист-ратив-ные</w:t>
            </w:r>
            <w:proofErr w:type="spellEnd"/>
            <w:r w:rsidRPr="009E1A71">
              <w:rPr>
                <w:color w:val="auto"/>
                <w:spacing w:val="2"/>
              </w:rPr>
              <w:t xml:space="preserve"> данные</w:t>
            </w:r>
          </w:p>
        </w:tc>
        <w:tc>
          <w:tcPr>
            <w:tcW w:w="850" w:type="dxa"/>
          </w:tcPr>
          <w:p w:rsidR="00626A84" w:rsidRPr="009E1A71" w:rsidRDefault="00626A84" w:rsidP="00B8206F">
            <w:pPr>
              <w:pStyle w:val="ac"/>
              <w:jc w:val="center"/>
              <w:rPr>
                <w:color w:val="auto"/>
              </w:rPr>
            </w:pPr>
            <w:r w:rsidRPr="009E1A71">
              <w:rPr>
                <w:color w:val="auto"/>
              </w:rPr>
              <w:t>час</w:t>
            </w:r>
          </w:p>
        </w:tc>
        <w:tc>
          <w:tcPr>
            <w:tcW w:w="851" w:type="dxa"/>
          </w:tcPr>
          <w:p w:rsidR="00626A84" w:rsidRPr="009E1A71" w:rsidRDefault="005C4F0D" w:rsidP="00B8206F">
            <w:pPr>
              <w:spacing w:after="0" w:line="240" w:lineRule="auto"/>
              <w:jc w:val="center"/>
              <w:rPr>
                <w:rFonts w:ascii="Times New Roman" w:hAnsi="Times New Roman" w:cs="Times New Roman"/>
                <w:sz w:val="24"/>
                <w:szCs w:val="24"/>
                <w:lang w:val="ru-RU"/>
              </w:rPr>
            </w:pPr>
            <w:r w:rsidRPr="009E1A71">
              <w:rPr>
                <w:rFonts w:ascii="Times New Roman" w:hAnsi="Times New Roman" w:cs="Times New Roman"/>
                <w:sz w:val="24"/>
                <w:szCs w:val="24"/>
                <w:lang w:val="ru-RU"/>
              </w:rPr>
              <w:t>1 минута</w:t>
            </w:r>
          </w:p>
        </w:tc>
        <w:tc>
          <w:tcPr>
            <w:tcW w:w="850" w:type="dxa"/>
          </w:tcPr>
          <w:p w:rsidR="00626A84" w:rsidRPr="009E1A71" w:rsidRDefault="005C4F0D" w:rsidP="00B35FB1">
            <w:pPr>
              <w:spacing w:after="0"/>
              <w:jc w:val="center"/>
              <w:rPr>
                <w:rFonts w:ascii="Times New Roman" w:eastAsia="Times New Roman" w:hAnsi="Times New Roman" w:cs="Times New Roman"/>
                <w:sz w:val="24"/>
                <w:szCs w:val="24"/>
                <w:lang w:val="kk-KZ" w:eastAsia="ru-RU"/>
              </w:rPr>
            </w:pPr>
            <w:r w:rsidRPr="009E1A71">
              <w:rPr>
                <w:rFonts w:ascii="Times New Roman" w:hAnsi="Times New Roman" w:cs="Times New Roman"/>
                <w:sz w:val="24"/>
                <w:szCs w:val="24"/>
                <w:lang w:val="ru-RU"/>
              </w:rPr>
              <w:t>1 минута</w:t>
            </w:r>
          </w:p>
        </w:tc>
        <w:tc>
          <w:tcPr>
            <w:tcW w:w="4189" w:type="dxa"/>
          </w:tcPr>
          <w:p w:rsidR="002358A7" w:rsidRPr="009E1A71" w:rsidRDefault="002358A7" w:rsidP="002358A7">
            <w:pPr>
              <w:spacing w:after="0" w:line="240" w:lineRule="auto"/>
              <w:rPr>
                <w:rFonts w:ascii="Times New Roman" w:hAnsi="Times New Roman" w:cs="Times New Roman"/>
                <w:b/>
                <w:sz w:val="24"/>
                <w:szCs w:val="24"/>
                <w:lang w:val="ru-RU"/>
              </w:rPr>
            </w:pPr>
            <w:r w:rsidRPr="009E1A71">
              <w:rPr>
                <w:rFonts w:ascii="Times New Roman" w:hAnsi="Times New Roman" w:cs="Times New Roman"/>
                <w:b/>
                <w:sz w:val="24"/>
                <w:szCs w:val="24"/>
                <w:lang w:val="ru-RU"/>
              </w:rPr>
              <w:t>Исполнен</w:t>
            </w:r>
          </w:p>
          <w:p w:rsidR="0041560E" w:rsidRPr="00C435C3" w:rsidRDefault="0041560E" w:rsidP="0041560E">
            <w:pPr>
              <w:tabs>
                <w:tab w:val="left" w:pos="8931"/>
              </w:tabs>
              <w:spacing w:after="0"/>
              <w:jc w:val="both"/>
              <w:rPr>
                <w:rFonts w:ascii="Times New Roman" w:hAnsi="Times New Roman"/>
                <w:bCs/>
                <w:sz w:val="24"/>
                <w:szCs w:val="24"/>
                <w:lang w:val="ru-RU"/>
              </w:rPr>
            </w:pPr>
            <w:r w:rsidRPr="0041560E">
              <w:rPr>
                <w:rFonts w:ascii="Times New Roman" w:hAnsi="Times New Roman"/>
                <w:bCs/>
                <w:sz w:val="24"/>
                <w:szCs w:val="24"/>
                <w:lang w:val="ru-RU"/>
              </w:rPr>
              <w:t>П</w:t>
            </w:r>
            <w:r w:rsidRPr="0041560E">
              <w:rPr>
                <w:rFonts w:ascii="Times New Roman" w:hAnsi="Times New Roman"/>
                <w:bCs/>
                <w:sz w:val="24"/>
                <w:szCs w:val="24"/>
                <w:lang w:val="ru-RU"/>
              </w:rPr>
              <w:t xml:space="preserve">о итогам 2018 года в ИС «АСТАНА-1», 84,6% деклараций на товары от общего количества ДТ оформлены в автоматическом режиме, время </w:t>
            </w:r>
            <w:bookmarkStart w:id="0" w:name="_GoBack"/>
            <w:bookmarkEnd w:id="0"/>
            <w:r w:rsidRPr="00C435C3">
              <w:rPr>
                <w:rFonts w:ascii="Times New Roman" w:hAnsi="Times New Roman"/>
                <w:bCs/>
                <w:sz w:val="24"/>
                <w:szCs w:val="24"/>
                <w:lang w:val="ru-RU"/>
              </w:rPr>
              <w:t>таможенной очистки составило 1 минуту.</w:t>
            </w:r>
          </w:p>
          <w:p w:rsidR="00626A84" w:rsidRPr="009E1A71" w:rsidRDefault="0041560E" w:rsidP="0041560E">
            <w:pPr>
              <w:pBdr>
                <w:bottom w:val="single" w:sz="4" w:space="0" w:color="FFFFFF"/>
              </w:pBdr>
              <w:spacing w:after="0" w:line="240" w:lineRule="auto"/>
              <w:jc w:val="both"/>
              <w:rPr>
                <w:rFonts w:ascii="Times New Roman" w:hAnsi="Times New Roman" w:cs="Times New Roman"/>
                <w:bCs/>
                <w:color w:val="0C0000"/>
                <w:sz w:val="24"/>
                <w:szCs w:val="28"/>
                <w:lang w:val="ru-RU" w:eastAsia="ru-RU"/>
              </w:rPr>
            </w:pPr>
            <w:r w:rsidRPr="00C435C3">
              <w:rPr>
                <w:rFonts w:ascii="Times New Roman" w:hAnsi="Times New Roman" w:cs="Times New Roman"/>
                <w:bCs/>
                <w:color w:val="0C0000"/>
                <w:sz w:val="24"/>
                <w:szCs w:val="28"/>
                <w:lang w:val="ru-RU" w:eastAsia="ru-RU"/>
              </w:rPr>
              <w:t xml:space="preserve"> </w:t>
            </w:r>
            <w:r w:rsidR="00A15391" w:rsidRPr="00C435C3">
              <w:rPr>
                <w:rFonts w:ascii="Times New Roman" w:hAnsi="Times New Roman" w:cs="Times New Roman"/>
                <w:bCs/>
                <w:color w:val="0C0000"/>
                <w:sz w:val="24"/>
                <w:szCs w:val="28"/>
                <w:lang w:val="ru-RU" w:eastAsia="ru-RU"/>
              </w:rPr>
              <w:t>(при плане 1 минута).</w:t>
            </w:r>
          </w:p>
        </w:tc>
      </w:tr>
      <w:tr w:rsidR="00BA44BC" w:rsidRPr="00414260" w:rsidTr="00BA44BC">
        <w:trPr>
          <w:trHeight w:val="30"/>
        </w:trPr>
        <w:tc>
          <w:tcPr>
            <w:tcW w:w="2055" w:type="dxa"/>
          </w:tcPr>
          <w:p w:rsidR="00BA44BC" w:rsidRPr="009E1A71" w:rsidRDefault="00BA44BC" w:rsidP="00F51344">
            <w:pPr>
              <w:pStyle w:val="ac"/>
              <w:tabs>
                <w:tab w:val="left" w:pos="313"/>
                <w:tab w:val="left" w:pos="454"/>
              </w:tabs>
              <w:jc w:val="both"/>
              <w:rPr>
                <w:color w:val="auto"/>
              </w:rPr>
            </w:pPr>
            <w:r w:rsidRPr="009E1A71">
              <w:rPr>
                <w:color w:val="auto"/>
              </w:rPr>
              <w:t xml:space="preserve">Сокращение времени прохождения таможенных операций в пунктах пропуска, через таможенную </w:t>
            </w:r>
            <w:r w:rsidRPr="009E1A71">
              <w:rPr>
                <w:color w:val="auto"/>
              </w:rPr>
              <w:lastRenderedPageBreak/>
              <w:t>границу с круглосуточным режимом работы</w:t>
            </w:r>
          </w:p>
        </w:tc>
        <w:tc>
          <w:tcPr>
            <w:tcW w:w="1059" w:type="dxa"/>
          </w:tcPr>
          <w:p w:rsidR="00BA44BC" w:rsidRPr="009E1A71" w:rsidRDefault="00BA44BC" w:rsidP="00B8206F">
            <w:pPr>
              <w:pStyle w:val="ac"/>
              <w:tabs>
                <w:tab w:val="left" w:pos="634"/>
              </w:tabs>
              <w:jc w:val="center"/>
              <w:rPr>
                <w:color w:val="auto"/>
                <w:spacing w:val="2"/>
              </w:rPr>
            </w:pPr>
            <w:proofErr w:type="spellStart"/>
            <w:r w:rsidRPr="009E1A71">
              <w:rPr>
                <w:color w:val="auto"/>
                <w:spacing w:val="2"/>
              </w:rPr>
              <w:lastRenderedPageBreak/>
              <w:t>Адми-нист-ратив-ные</w:t>
            </w:r>
            <w:proofErr w:type="spellEnd"/>
            <w:r w:rsidRPr="009E1A71">
              <w:rPr>
                <w:color w:val="auto"/>
                <w:spacing w:val="2"/>
              </w:rPr>
              <w:t xml:space="preserve"> данные</w:t>
            </w:r>
          </w:p>
        </w:tc>
        <w:tc>
          <w:tcPr>
            <w:tcW w:w="850" w:type="dxa"/>
          </w:tcPr>
          <w:p w:rsidR="00BA44BC" w:rsidRPr="009E1A71" w:rsidRDefault="00BA44BC" w:rsidP="00BA44BC">
            <w:pPr>
              <w:pStyle w:val="ac"/>
              <w:jc w:val="center"/>
              <w:rPr>
                <w:color w:val="auto"/>
              </w:rPr>
            </w:pPr>
            <w:r w:rsidRPr="009E1A71">
              <w:rPr>
                <w:color w:val="auto"/>
              </w:rPr>
              <w:t>мин</w:t>
            </w:r>
          </w:p>
        </w:tc>
        <w:tc>
          <w:tcPr>
            <w:tcW w:w="851" w:type="dxa"/>
          </w:tcPr>
          <w:p w:rsidR="00BA44BC" w:rsidRPr="009E1A71" w:rsidRDefault="00F51344" w:rsidP="00B8206F">
            <w:pPr>
              <w:spacing w:after="0" w:line="240" w:lineRule="auto"/>
              <w:jc w:val="center"/>
              <w:rPr>
                <w:rFonts w:ascii="Times New Roman" w:hAnsi="Times New Roman" w:cs="Times New Roman"/>
                <w:sz w:val="24"/>
                <w:szCs w:val="24"/>
                <w:lang w:val="ru-RU"/>
              </w:rPr>
            </w:pPr>
            <w:r w:rsidRPr="009E1A71">
              <w:rPr>
                <w:rFonts w:ascii="Times New Roman" w:hAnsi="Times New Roman" w:cs="Times New Roman"/>
                <w:sz w:val="24"/>
                <w:szCs w:val="24"/>
                <w:lang w:val="ru-RU"/>
              </w:rPr>
              <w:t>58</w:t>
            </w:r>
          </w:p>
        </w:tc>
        <w:tc>
          <w:tcPr>
            <w:tcW w:w="850" w:type="dxa"/>
          </w:tcPr>
          <w:p w:rsidR="00BA44BC" w:rsidRPr="009E1A71" w:rsidRDefault="00F51344" w:rsidP="00B35FB1">
            <w:pPr>
              <w:spacing w:after="0"/>
              <w:jc w:val="center"/>
              <w:rPr>
                <w:rFonts w:ascii="Times New Roman" w:eastAsia="Times New Roman" w:hAnsi="Times New Roman" w:cs="Times New Roman"/>
                <w:sz w:val="24"/>
                <w:szCs w:val="24"/>
                <w:lang w:val="ru-RU" w:eastAsia="ru-RU"/>
              </w:rPr>
            </w:pPr>
            <w:r w:rsidRPr="009E1A71">
              <w:rPr>
                <w:rFonts w:ascii="Times New Roman" w:eastAsia="Times New Roman" w:hAnsi="Times New Roman" w:cs="Times New Roman"/>
                <w:sz w:val="24"/>
                <w:szCs w:val="24"/>
                <w:lang w:val="ru-RU" w:eastAsia="ru-RU"/>
              </w:rPr>
              <w:t>58</w:t>
            </w:r>
          </w:p>
        </w:tc>
        <w:tc>
          <w:tcPr>
            <w:tcW w:w="4189" w:type="dxa"/>
          </w:tcPr>
          <w:p w:rsidR="002358A7" w:rsidRPr="009E1A71" w:rsidRDefault="002358A7" w:rsidP="002358A7">
            <w:pPr>
              <w:spacing w:after="0" w:line="240" w:lineRule="auto"/>
              <w:rPr>
                <w:rFonts w:ascii="Times New Roman" w:hAnsi="Times New Roman" w:cs="Times New Roman"/>
                <w:b/>
                <w:sz w:val="24"/>
                <w:szCs w:val="24"/>
                <w:lang w:val="ru-RU"/>
              </w:rPr>
            </w:pPr>
            <w:r w:rsidRPr="009E1A71">
              <w:rPr>
                <w:rFonts w:ascii="Times New Roman" w:hAnsi="Times New Roman" w:cs="Times New Roman"/>
                <w:b/>
                <w:sz w:val="24"/>
                <w:szCs w:val="24"/>
                <w:lang w:val="ru-RU"/>
              </w:rPr>
              <w:t>Исполнен</w:t>
            </w:r>
          </w:p>
          <w:p w:rsidR="00BA44BC" w:rsidRPr="009E1A71" w:rsidRDefault="00D86DEE" w:rsidP="00F51344">
            <w:pPr>
              <w:spacing w:after="0" w:line="240" w:lineRule="auto"/>
              <w:jc w:val="both"/>
              <w:rPr>
                <w:rFonts w:ascii="Times New Roman" w:hAnsi="Times New Roman" w:cs="Times New Roman"/>
                <w:bCs/>
                <w:color w:val="0C0000"/>
                <w:sz w:val="24"/>
                <w:szCs w:val="28"/>
                <w:lang w:val="ru-RU" w:eastAsia="ru-RU"/>
              </w:rPr>
            </w:pPr>
            <w:r w:rsidRPr="009E1A71">
              <w:rPr>
                <w:rFonts w:ascii="Times New Roman" w:hAnsi="Times New Roman" w:cs="Times New Roman"/>
                <w:bCs/>
                <w:color w:val="0C0000"/>
                <w:sz w:val="24"/>
                <w:szCs w:val="28"/>
                <w:lang w:val="ru-RU" w:eastAsia="ru-RU"/>
              </w:rPr>
              <w:t>На 1 января 2019 года время прохождения АТС составляет – 58 минуты.</w:t>
            </w:r>
          </w:p>
          <w:p w:rsidR="00A73159" w:rsidRPr="009E1A71" w:rsidRDefault="00A73159" w:rsidP="00A73159">
            <w:pPr>
              <w:pBdr>
                <w:bottom w:val="single" w:sz="4" w:space="0" w:color="FFFFFF"/>
              </w:pBdr>
              <w:tabs>
                <w:tab w:val="left" w:pos="8931"/>
              </w:tabs>
              <w:spacing w:after="0"/>
              <w:jc w:val="both"/>
              <w:rPr>
                <w:rFonts w:ascii="Times New Roman" w:hAnsi="Times New Roman"/>
                <w:bCs/>
                <w:sz w:val="24"/>
                <w:szCs w:val="24"/>
                <w:lang w:val="ru-RU"/>
              </w:rPr>
            </w:pPr>
            <w:r w:rsidRPr="009E1A71">
              <w:rPr>
                <w:rFonts w:ascii="Times New Roman" w:hAnsi="Times New Roman"/>
                <w:bCs/>
                <w:sz w:val="24"/>
                <w:szCs w:val="24"/>
                <w:lang w:val="ru-RU"/>
              </w:rPr>
              <w:t xml:space="preserve">В целях сокращения и ускорения времени прохождения </w:t>
            </w:r>
            <w:proofErr w:type="gramStart"/>
            <w:r w:rsidRPr="009E1A71">
              <w:rPr>
                <w:rFonts w:ascii="Times New Roman" w:hAnsi="Times New Roman"/>
                <w:bCs/>
                <w:sz w:val="24"/>
                <w:szCs w:val="24"/>
                <w:lang w:val="ru-RU"/>
              </w:rPr>
              <w:t>авто</w:t>
            </w:r>
            <w:r w:rsidRPr="009E1A71">
              <w:rPr>
                <w:rFonts w:ascii="Times New Roman" w:hAnsi="Times New Roman"/>
                <w:bCs/>
                <w:sz w:val="24"/>
                <w:szCs w:val="24"/>
                <w:lang w:val="kk-KZ"/>
              </w:rPr>
              <w:t>-</w:t>
            </w:r>
            <w:r w:rsidRPr="009E1A71">
              <w:rPr>
                <w:rFonts w:ascii="Times New Roman" w:hAnsi="Times New Roman"/>
                <w:bCs/>
                <w:sz w:val="24"/>
                <w:szCs w:val="24"/>
                <w:lang w:val="ru-RU"/>
              </w:rPr>
              <w:t>транспортных</w:t>
            </w:r>
            <w:proofErr w:type="gramEnd"/>
            <w:r w:rsidRPr="009E1A71">
              <w:rPr>
                <w:rFonts w:ascii="Times New Roman" w:hAnsi="Times New Roman"/>
                <w:bCs/>
                <w:sz w:val="24"/>
                <w:szCs w:val="24"/>
                <w:lang w:val="ru-RU"/>
              </w:rPr>
              <w:t xml:space="preserve"> средств в пунктах </w:t>
            </w:r>
            <w:r w:rsidRPr="009E1A71">
              <w:rPr>
                <w:rFonts w:ascii="Times New Roman" w:hAnsi="Times New Roman"/>
                <w:bCs/>
                <w:sz w:val="24"/>
                <w:szCs w:val="24"/>
                <w:lang w:val="ru-RU"/>
              </w:rPr>
              <w:lastRenderedPageBreak/>
              <w:t xml:space="preserve">пропуска используются основные технические средства таможенного контроля (ТСТК), автоматизированная система учета АТС, </w:t>
            </w:r>
            <w:proofErr w:type="spellStart"/>
            <w:r w:rsidRPr="009E1A71">
              <w:rPr>
                <w:rFonts w:ascii="Times New Roman" w:hAnsi="Times New Roman"/>
                <w:bCs/>
                <w:sz w:val="24"/>
                <w:szCs w:val="24"/>
                <w:lang w:val="ru-RU"/>
              </w:rPr>
              <w:t>автомати</w:t>
            </w:r>
            <w:proofErr w:type="spellEnd"/>
            <w:r w:rsidRPr="009E1A71">
              <w:rPr>
                <w:rFonts w:ascii="Times New Roman" w:hAnsi="Times New Roman"/>
                <w:bCs/>
                <w:sz w:val="24"/>
                <w:szCs w:val="24"/>
                <w:lang w:val="kk-KZ"/>
              </w:rPr>
              <w:t>-</w:t>
            </w:r>
            <w:proofErr w:type="spellStart"/>
            <w:r w:rsidRPr="009E1A71">
              <w:rPr>
                <w:rFonts w:ascii="Times New Roman" w:hAnsi="Times New Roman"/>
                <w:bCs/>
                <w:sz w:val="24"/>
                <w:szCs w:val="24"/>
                <w:lang w:val="ru-RU"/>
              </w:rPr>
              <w:t>зированная</w:t>
            </w:r>
            <w:proofErr w:type="spellEnd"/>
            <w:r w:rsidRPr="009E1A71">
              <w:rPr>
                <w:rFonts w:ascii="Times New Roman" w:hAnsi="Times New Roman"/>
                <w:bCs/>
                <w:sz w:val="24"/>
                <w:szCs w:val="24"/>
                <w:lang w:val="ru-RU"/>
              </w:rPr>
              <w:t xml:space="preserve"> весогабаритная система, не интрузивная система досмотра товаров и транспортных средств.</w:t>
            </w:r>
          </w:p>
          <w:p w:rsidR="00A73159" w:rsidRPr="009E1A71" w:rsidRDefault="00A73159" w:rsidP="00A73159">
            <w:pPr>
              <w:pBdr>
                <w:bottom w:val="single" w:sz="4" w:space="0" w:color="FFFFFF"/>
              </w:pBdr>
              <w:tabs>
                <w:tab w:val="left" w:pos="8931"/>
              </w:tabs>
              <w:spacing w:after="0"/>
              <w:jc w:val="both"/>
              <w:rPr>
                <w:rFonts w:ascii="Times New Roman" w:hAnsi="Times New Roman"/>
                <w:bCs/>
                <w:sz w:val="24"/>
                <w:szCs w:val="24"/>
                <w:lang w:val="ru-RU"/>
              </w:rPr>
            </w:pPr>
            <w:r w:rsidRPr="009E1A71">
              <w:rPr>
                <w:rFonts w:ascii="Times New Roman" w:hAnsi="Times New Roman"/>
                <w:bCs/>
                <w:sz w:val="24"/>
                <w:szCs w:val="24"/>
                <w:lang w:val="ru-RU"/>
              </w:rPr>
              <w:t>При этом</w:t>
            </w:r>
            <w:proofErr w:type="gramStart"/>
            <w:r w:rsidRPr="009E1A71">
              <w:rPr>
                <w:rFonts w:ascii="Times New Roman" w:hAnsi="Times New Roman"/>
                <w:bCs/>
                <w:sz w:val="24"/>
                <w:szCs w:val="24"/>
                <w:lang w:val="ru-RU"/>
              </w:rPr>
              <w:t>,</w:t>
            </w:r>
            <w:proofErr w:type="gramEnd"/>
            <w:r w:rsidRPr="009E1A71">
              <w:rPr>
                <w:rFonts w:ascii="Times New Roman" w:hAnsi="Times New Roman"/>
                <w:bCs/>
                <w:sz w:val="24"/>
                <w:szCs w:val="24"/>
                <w:lang w:val="ru-RU"/>
              </w:rPr>
              <w:t xml:space="preserve"> для учета времени прохождения АТС применяется система электронного пункта пропуска, которая в онлайн-режиме передает информацию с пунктов пропуска в КГД.</w:t>
            </w:r>
          </w:p>
          <w:p w:rsidR="00A73159" w:rsidRPr="009E1A71" w:rsidRDefault="00A73159" w:rsidP="00A73159">
            <w:pPr>
              <w:spacing w:after="0" w:line="240" w:lineRule="auto"/>
              <w:jc w:val="both"/>
              <w:rPr>
                <w:rFonts w:ascii="Times New Roman" w:hAnsi="Times New Roman" w:cs="Times New Roman"/>
                <w:color w:val="0C0000"/>
                <w:sz w:val="24"/>
                <w:szCs w:val="24"/>
                <w:lang w:val="ru-RU"/>
              </w:rPr>
            </w:pPr>
            <w:r w:rsidRPr="009E1A71">
              <w:rPr>
                <w:rFonts w:ascii="Times New Roman" w:hAnsi="Times New Roman"/>
                <w:bCs/>
                <w:sz w:val="24"/>
                <w:szCs w:val="24"/>
                <w:lang w:val="ru-RU"/>
              </w:rPr>
              <w:t>Также запущена подсистема транзита ИС АСТАНА-1, которая позволяет осуществлять автоматизированный контроль всего таможенного процесса на границе, с момента подачи предварительной информации до контроля выпуска товаров.</w:t>
            </w:r>
          </w:p>
        </w:tc>
      </w:tr>
      <w:tr w:rsidR="00BA44BC" w:rsidRPr="00414260" w:rsidTr="00CE721D">
        <w:trPr>
          <w:trHeight w:val="30"/>
        </w:trPr>
        <w:tc>
          <w:tcPr>
            <w:tcW w:w="2055" w:type="dxa"/>
          </w:tcPr>
          <w:p w:rsidR="00BA44BC" w:rsidRPr="009E1A71" w:rsidRDefault="00BA44BC" w:rsidP="00F51344">
            <w:pPr>
              <w:pStyle w:val="ac"/>
              <w:tabs>
                <w:tab w:val="left" w:pos="313"/>
                <w:tab w:val="left" w:pos="454"/>
              </w:tabs>
              <w:jc w:val="both"/>
              <w:rPr>
                <w:bCs/>
                <w:color w:val="auto"/>
              </w:rPr>
            </w:pPr>
            <w:r w:rsidRPr="009E1A71">
              <w:rPr>
                <w:bCs/>
                <w:color w:val="auto"/>
              </w:rPr>
              <w:lastRenderedPageBreak/>
              <w:t>Сокращение времени соблюдения налоговых обязательств</w:t>
            </w:r>
          </w:p>
        </w:tc>
        <w:tc>
          <w:tcPr>
            <w:tcW w:w="1059" w:type="dxa"/>
          </w:tcPr>
          <w:p w:rsidR="00BA44BC" w:rsidRPr="009E1A71" w:rsidRDefault="00BA44BC" w:rsidP="00B8206F">
            <w:pPr>
              <w:pStyle w:val="ac"/>
              <w:jc w:val="center"/>
              <w:rPr>
                <w:color w:val="auto"/>
                <w:spacing w:val="2"/>
              </w:rPr>
            </w:pPr>
            <w:proofErr w:type="spellStart"/>
            <w:r w:rsidRPr="009E1A71">
              <w:rPr>
                <w:color w:val="auto"/>
                <w:spacing w:val="2"/>
              </w:rPr>
              <w:t>Адми-нистра-тивные</w:t>
            </w:r>
            <w:proofErr w:type="spellEnd"/>
            <w:r w:rsidRPr="009E1A71">
              <w:rPr>
                <w:color w:val="auto"/>
                <w:spacing w:val="2"/>
              </w:rPr>
              <w:t xml:space="preserve"> данные</w:t>
            </w:r>
          </w:p>
        </w:tc>
        <w:tc>
          <w:tcPr>
            <w:tcW w:w="850" w:type="dxa"/>
          </w:tcPr>
          <w:p w:rsidR="00BA44BC" w:rsidRPr="009E1A71" w:rsidRDefault="00BA44BC" w:rsidP="00B8206F">
            <w:pPr>
              <w:pStyle w:val="ac"/>
              <w:jc w:val="center"/>
              <w:rPr>
                <w:color w:val="auto"/>
              </w:rPr>
            </w:pPr>
            <w:r w:rsidRPr="009E1A71">
              <w:rPr>
                <w:color w:val="auto"/>
              </w:rPr>
              <w:t>час</w:t>
            </w:r>
          </w:p>
        </w:tc>
        <w:tc>
          <w:tcPr>
            <w:tcW w:w="851" w:type="dxa"/>
          </w:tcPr>
          <w:p w:rsidR="00BA44BC" w:rsidRPr="009E1A71" w:rsidRDefault="00BA44BC" w:rsidP="00B8206F">
            <w:pPr>
              <w:spacing w:after="0" w:line="240" w:lineRule="auto"/>
              <w:jc w:val="center"/>
              <w:rPr>
                <w:rFonts w:ascii="Times New Roman" w:hAnsi="Times New Roman" w:cs="Times New Roman"/>
                <w:sz w:val="24"/>
                <w:szCs w:val="24"/>
                <w:lang w:val="ru-RU"/>
              </w:rPr>
            </w:pPr>
            <w:r w:rsidRPr="009E1A71">
              <w:rPr>
                <w:rFonts w:ascii="Times New Roman" w:hAnsi="Times New Roman" w:cs="Times New Roman"/>
                <w:sz w:val="24"/>
                <w:szCs w:val="24"/>
                <w:lang w:val="ru-RU"/>
              </w:rPr>
              <w:t>177</w:t>
            </w:r>
          </w:p>
        </w:tc>
        <w:tc>
          <w:tcPr>
            <w:tcW w:w="850" w:type="dxa"/>
          </w:tcPr>
          <w:p w:rsidR="00BA44BC" w:rsidRPr="009E1A71" w:rsidRDefault="00F51344" w:rsidP="00B35FB1">
            <w:pPr>
              <w:spacing w:after="0"/>
              <w:jc w:val="center"/>
              <w:rPr>
                <w:rFonts w:ascii="Times New Roman" w:eastAsia="Times New Roman" w:hAnsi="Times New Roman" w:cs="Times New Roman"/>
                <w:sz w:val="24"/>
                <w:szCs w:val="24"/>
                <w:lang w:val="ru-RU" w:eastAsia="ru-RU"/>
              </w:rPr>
            </w:pPr>
            <w:r w:rsidRPr="009E1A71">
              <w:rPr>
                <w:rFonts w:ascii="Times New Roman" w:eastAsia="Times New Roman" w:hAnsi="Times New Roman" w:cs="Times New Roman"/>
                <w:sz w:val="24"/>
                <w:szCs w:val="24"/>
                <w:lang w:val="ru-RU" w:eastAsia="ru-RU"/>
              </w:rPr>
              <w:t>-</w:t>
            </w:r>
          </w:p>
        </w:tc>
        <w:tc>
          <w:tcPr>
            <w:tcW w:w="4189" w:type="dxa"/>
          </w:tcPr>
          <w:p w:rsidR="00BA44BC" w:rsidRPr="009E1A71" w:rsidRDefault="00F51344" w:rsidP="00F51344">
            <w:pPr>
              <w:spacing w:after="0" w:line="240" w:lineRule="auto"/>
              <w:jc w:val="both"/>
              <w:rPr>
                <w:rFonts w:ascii="Times New Roman" w:hAnsi="Times New Roman" w:cs="Times New Roman"/>
                <w:b/>
                <w:sz w:val="24"/>
                <w:szCs w:val="24"/>
                <w:lang w:val="ru-RU"/>
              </w:rPr>
            </w:pPr>
            <w:r w:rsidRPr="009E1A71">
              <w:rPr>
                <w:rFonts w:ascii="Times New Roman" w:hAnsi="Times New Roman" w:cs="Times New Roman"/>
                <w:b/>
                <w:sz w:val="24"/>
                <w:szCs w:val="24"/>
                <w:lang w:val="ru-RU"/>
              </w:rPr>
              <w:t>На исполнении</w:t>
            </w:r>
          </w:p>
          <w:p w:rsidR="003A02BB" w:rsidRPr="009E1A71" w:rsidRDefault="003A02BB" w:rsidP="003A02BB">
            <w:pPr>
              <w:spacing w:after="0" w:line="240" w:lineRule="auto"/>
              <w:jc w:val="both"/>
              <w:rPr>
                <w:rFonts w:ascii="Times New Roman" w:eastAsia="Times New Roman" w:hAnsi="Times New Roman" w:cs="Times New Roman"/>
                <w:sz w:val="28"/>
                <w:szCs w:val="28"/>
                <w:lang w:val="ru-RU" w:eastAsia="ru-RU"/>
              </w:rPr>
            </w:pPr>
            <w:r w:rsidRPr="009E1A71">
              <w:rPr>
                <w:rFonts w:ascii="Times New Roman" w:hAnsi="Times New Roman" w:cs="Times New Roman"/>
                <w:bCs/>
                <w:color w:val="0C0000"/>
                <w:sz w:val="24"/>
                <w:szCs w:val="28"/>
                <w:lang w:val="ru-RU" w:eastAsia="ru-RU"/>
              </w:rPr>
              <w:t>Данный показатель определяется путем проведения хронометража. Обследование  планируется провести после завершения финансового года и сдачи годовой  налоговой отчетности в марте месяце.</w:t>
            </w:r>
            <w:r w:rsidRPr="009E1A71">
              <w:rPr>
                <w:sz w:val="28"/>
                <w:szCs w:val="28"/>
                <w:lang w:val="ru-RU"/>
              </w:rPr>
              <w:t xml:space="preserve">  </w:t>
            </w:r>
          </w:p>
        </w:tc>
      </w:tr>
      <w:tr w:rsidR="00BA44BC" w:rsidRPr="00414260" w:rsidTr="00CE721D">
        <w:trPr>
          <w:trHeight w:val="144"/>
        </w:trPr>
        <w:tc>
          <w:tcPr>
            <w:tcW w:w="2055" w:type="dxa"/>
          </w:tcPr>
          <w:p w:rsidR="00BA44BC" w:rsidRPr="009E1A71" w:rsidRDefault="00BA44BC" w:rsidP="00014FAE">
            <w:pPr>
              <w:pStyle w:val="ac"/>
              <w:tabs>
                <w:tab w:val="left" w:pos="313"/>
                <w:tab w:val="left" w:pos="454"/>
              </w:tabs>
              <w:jc w:val="both"/>
              <w:rPr>
                <w:bCs/>
                <w:color w:val="auto"/>
              </w:rPr>
            </w:pPr>
            <w:proofErr w:type="gramStart"/>
            <w:r w:rsidRPr="009E1A71">
              <w:rPr>
                <w:bCs/>
                <w:color w:val="auto"/>
              </w:rPr>
              <w:t>Удовлетворен-</w:t>
            </w:r>
            <w:proofErr w:type="spellStart"/>
            <w:r w:rsidRPr="009E1A71">
              <w:rPr>
                <w:bCs/>
                <w:color w:val="auto"/>
              </w:rPr>
              <w:t>ность</w:t>
            </w:r>
            <w:proofErr w:type="spellEnd"/>
            <w:proofErr w:type="gramEnd"/>
            <w:r w:rsidRPr="009E1A71">
              <w:rPr>
                <w:bCs/>
                <w:color w:val="auto"/>
              </w:rPr>
              <w:t xml:space="preserve"> общества государственными услугами органов гос. доходов</w:t>
            </w:r>
          </w:p>
        </w:tc>
        <w:tc>
          <w:tcPr>
            <w:tcW w:w="1059" w:type="dxa"/>
          </w:tcPr>
          <w:p w:rsidR="00BA44BC" w:rsidRPr="009E1A71" w:rsidRDefault="00BA44BC" w:rsidP="00B8206F">
            <w:pPr>
              <w:pStyle w:val="ac"/>
              <w:ind w:hanging="108"/>
              <w:jc w:val="center"/>
              <w:rPr>
                <w:color w:val="auto"/>
                <w:spacing w:val="2"/>
              </w:rPr>
            </w:pPr>
            <w:r w:rsidRPr="009E1A71">
              <w:rPr>
                <w:color w:val="auto"/>
                <w:spacing w:val="2"/>
              </w:rPr>
              <w:t>Соц. опрос</w:t>
            </w:r>
          </w:p>
        </w:tc>
        <w:tc>
          <w:tcPr>
            <w:tcW w:w="850" w:type="dxa"/>
          </w:tcPr>
          <w:p w:rsidR="00BA44BC" w:rsidRPr="009E1A71" w:rsidRDefault="00BA44BC" w:rsidP="00B8206F">
            <w:pPr>
              <w:pStyle w:val="ac"/>
              <w:jc w:val="center"/>
              <w:rPr>
                <w:color w:val="auto"/>
              </w:rPr>
            </w:pPr>
            <w:r w:rsidRPr="009E1A71">
              <w:rPr>
                <w:color w:val="auto"/>
              </w:rPr>
              <w:t>%</w:t>
            </w:r>
          </w:p>
        </w:tc>
        <w:tc>
          <w:tcPr>
            <w:tcW w:w="851" w:type="dxa"/>
          </w:tcPr>
          <w:p w:rsidR="00BA44BC" w:rsidRPr="009E1A71" w:rsidRDefault="00BA44BC" w:rsidP="00B8206F">
            <w:pPr>
              <w:spacing w:after="0" w:line="240" w:lineRule="auto"/>
              <w:jc w:val="center"/>
              <w:rPr>
                <w:rFonts w:ascii="Times New Roman" w:hAnsi="Times New Roman" w:cs="Times New Roman"/>
                <w:sz w:val="24"/>
                <w:szCs w:val="24"/>
                <w:lang w:val="ru-RU"/>
              </w:rPr>
            </w:pPr>
            <w:r w:rsidRPr="009E1A71">
              <w:rPr>
                <w:rFonts w:ascii="Times New Roman" w:hAnsi="Times New Roman" w:cs="Times New Roman"/>
                <w:sz w:val="24"/>
                <w:szCs w:val="24"/>
                <w:lang w:val="ru-RU"/>
              </w:rPr>
              <w:t>8</w:t>
            </w:r>
            <w:r w:rsidR="00F51344" w:rsidRPr="009E1A71">
              <w:rPr>
                <w:rFonts w:ascii="Times New Roman" w:hAnsi="Times New Roman" w:cs="Times New Roman"/>
                <w:sz w:val="24"/>
                <w:szCs w:val="24"/>
                <w:lang w:val="ru-RU"/>
              </w:rPr>
              <w:t>1</w:t>
            </w:r>
          </w:p>
        </w:tc>
        <w:tc>
          <w:tcPr>
            <w:tcW w:w="850" w:type="dxa"/>
          </w:tcPr>
          <w:p w:rsidR="00BA44BC" w:rsidRPr="009E1A71" w:rsidRDefault="0073060C" w:rsidP="00B35FB1">
            <w:pPr>
              <w:spacing w:after="0"/>
              <w:jc w:val="center"/>
              <w:rPr>
                <w:rFonts w:ascii="Times New Roman" w:eastAsia="Times New Roman" w:hAnsi="Times New Roman" w:cs="Times New Roman"/>
                <w:sz w:val="24"/>
                <w:szCs w:val="24"/>
                <w:lang w:val="ru-RU" w:eastAsia="ru-RU"/>
              </w:rPr>
            </w:pPr>
            <w:r w:rsidRPr="009E1A71">
              <w:rPr>
                <w:rFonts w:ascii="Times New Roman" w:eastAsia="Times New Roman" w:hAnsi="Times New Roman" w:cs="Times New Roman"/>
                <w:sz w:val="24"/>
                <w:szCs w:val="24"/>
                <w:lang w:val="ru-RU" w:eastAsia="ru-RU"/>
              </w:rPr>
              <w:t>93</w:t>
            </w:r>
          </w:p>
        </w:tc>
        <w:tc>
          <w:tcPr>
            <w:tcW w:w="4189" w:type="dxa"/>
          </w:tcPr>
          <w:p w:rsidR="002358A7" w:rsidRPr="009E1A71" w:rsidRDefault="002358A7" w:rsidP="0073060C">
            <w:pPr>
              <w:spacing w:after="0" w:line="240" w:lineRule="auto"/>
              <w:jc w:val="both"/>
              <w:rPr>
                <w:rFonts w:ascii="Times New Roman" w:hAnsi="Times New Roman" w:cs="Times New Roman"/>
                <w:b/>
                <w:bCs/>
                <w:color w:val="0C0000"/>
                <w:sz w:val="24"/>
                <w:szCs w:val="28"/>
                <w:lang w:val="ru-RU" w:eastAsia="ru-RU"/>
              </w:rPr>
            </w:pPr>
            <w:r w:rsidRPr="009E1A71">
              <w:rPr>
                <w:rFonts w:ascii="Times New Roman" w:hAnsi="Times New Roman" w:cs="Times New Roman"/>
                <w:b/>
                <w:bCs/>
                <w:color w:val="0C0000"/>
                <w:sz w:val="24"/>
                <w:szCs w:val="28"/>
                <w:lang w:val="ru-RU" w:eastAsia="ru-RU"/>
              </w:rPr>
              <w:t>Исполнен</w:t>
            </w:r>
          </w:p>
          <w:p w:rsidR="0073060C" w:rsidRPr="009E1A71" w:rsidRDefault="00274DFF" w:rsidP="00274DFF">
            <w:pPr>
              <w:spacing w:after="0" w:line="240" w:lineRule="auto"/>
              <w:jc w:val="both"/>
              <w:rPr>
                <w:rFonts w:ascii="Times New Roman" w:hAnsi="Times New Roman" w:cs="Times New Roman"/>
                <w:bCs/>
                <w:color w:val="0C0000"/>
                <w:sz w:val="24"/>
                <w:szCs w:val="28"/>
                <w:lang w:val="ru-RU" w:eastAsia="ru-RU"/>
              </w:rPr>
            </w:pPr>
            <w:r w:rsidRPr="009E1A71">
              <w:rPr>
                <w:rFonts w:ascii="Times New Roman" w:hAnsi="Times New Roman" w:cs="Times New Roman"/>
                <w:bCs/>
                <w:color w:val="0C0000"/>
                <w:sz w:val="24"/>
                <w:szCs w:val="28"/>
                <w:lang w:val="ru-RU" w:eastAsia="ru-RU"/>
              </w:rPr>
              <w:t>Учитывая данные отчета САНДЖ, а также участие лишь 2 госуслуг (регистрация налогоплательщиков и возврат НДС из бюджета), оказываемых органами государственных доходов, с учетом перевода бальных значений в процентное соотношение уровень удовлетворенности потребителей услугами КГД составил 93%,</w:t>
            </w:r>
          </w:p>
        </w:tc>
      </w:tr>
      <w:tr w:rsidR="00E137DF" w:rsidRPr="00414260" w:rsidTr="00CE721D">
        <w:trPr>
          <w:trHeight w:val="30"/>
        </w:trPr>
        <w:tc>
          <w:tcPr>
            <w:tcW w:w="2055" w:type="dxa"/>
          </w:tcPr>
          <w:p w:rsidR="00E137DF" w:rsidRPr="009E1A71" w:rsidRDefault="00E137DF" w:rsidP="00014FAE">
            <w:pPr>
              <w:pStyle w:val="ac"/>
              <w:tabs>
                <w:tab w:val="left" w:pos="313"/>
                <w:tab w:val="left" w:pos="454"/>
              </w:tabs>
              <w:jc w:val="both"/>
              <w:rPr>
                <w:bCs/>
                <w:color w:val="auto"/>
              </w:rPr>
            </w:pPr>
            <w:r w:rsidRPr="009E1A71">
              <w:rPr>
                <w:bCs/>
                <w:color w:val="auto"/>
              </w:rPr>
              <w:t xml:space="preserve">Коэффициент погашения требований кредиторов по должникам, завершившим процедуры реабилитации и банкротства (без учета должников, </w:t>
            </w:r>
            <w:r w:rsidRPr="009E1A71">
              <w:rPr>
                <w:bCs/>
                <w:color w:val="auto"/>
              </w:rPr>
              <w:lastRenderedPageBreak/>
              <w:t xml:space="preserve">не имеющих активов) </w:t>
            </w:r>
          </w:p>
        </w:tc>
        <w:tc>
          <w:tcPr>
            <w:tcW w:w="1059" w:type="dxa"/>
          </w:tcPr>
          <w:p w:rsidR="00E137DF" w:rsidRPr="009E1A71" w:rsidRDefault="00E137DF" w:rsidP="00B8206F">
            <w:pPr>
              <w:pStyle w:val="ac"/>
              <w:jc w:val="center"/>
              <w:rPr>
                <w:color w:val="auto"/>
                <w:spacing w:val="2"/>
              </w:rPr>
            </w:pPr>
            <w:proofErr w:type="spellStart"/>
            <w:proofErr w:type="gramStart"/>
            <w:r w:rsidRPr="009E1A71">
              <w:rPr>
                <w:color w:val="auto"/>
                <w:spacing w:val="2"/>
              </w:rPr>
              <w:lastRenderedPageBreak/>
              <w:t>Администра-тивные</w:t>
            </w:r>
            <w:proofErr w:type="spellEnd"/>
            <w:proofErr w:type="gramEnd"/>
            <w:r w:rsidRPr="009E1A71">
              <w:rPr>
                <w:color w:val="auto"/>
                <w:spacing w:val="2"/>
              </w:rPr>
              <w:t xml:space="preserve"> данные</w:t>
            </w:r>
          </w:p>
        </w:tc>
        <w:tc>
          <w:tcPr>
            <w:tcW w:w="850" w:type="dxa"/>
          </w:tcPr>
          <w:p w:rsidR="00E137DF" w:rsidRPr="009E1A71" w:rsidRDefault="00E137DF" w:rsidP="00B8206F">
            <w:pPr>
              <w:pStyle w:val="ac"/>
              <w:jc w:val="center"/>
              <w:rPr>
                <w:color w:val="auto"/>
              </w:rPr>
            </w:pPr>
            <w:r w:rsidRPr="009E1A71">
              <w:rPr>
                <w:color w:val="auto"/>
              </w:rPr>
              <w:t>%</w:t>
            </w:r>
          </w:p>
        </w:tc>
        <w:tc>
          <w:tcPr>
            <w:tcW w:w="851" w:type="dxa"/>
          </w:tcPr>
          <w:p w:rsidR="00E137DF" w:rsidRPr="009E1A71" w:rsidRDefault="00F51344" w:rsidP="00B8206F">
            <w:pPr>
              <w:spacing w:after="0" w:line="240" w:lineRule="auto"/>
              <w:jc w:val="center"/>
              <w:rPr>
                <w:rFonts w:ascii="Times New Roman" w:hAnsi="Times New Roman" w:cs="Times New Roman"/>
                <w:sz w:val="24"/>
                <w:szCs w:val="24"/>
                <w:lang w:val="ru-RU"/>
              </w:rPr>
            </w:pPr>
            <w:r w:rsidRPr="009E1A71">
              <w:rPr>
                <w:rFonts w:ascii="Times New Roman" w:hAnsi="Times New Roman" w:cs="Times New Roman"/>
                <w:sz w:val="24"/>
                <w:szCs w:val="24"/>
                <w:lang w:val="ru-RU"/>
              </w:rPr>
              <w:t>14</w:t>
            </w:r>
          </w:p>
        </w:tc>
        <w:tc>
          <w:tcPr>
            <w:tcW w:w="850" w:type="dxa"/>
          </w:tcPr>
          <w:p w:rsidR="00E137DF" w:rsidRPr="009E1A71" w:rsidRDefault="00F51344" w:rsidP="00B35FB1">
            <w:pPr>
              <w:spacing w:after="0"/>
              <w:jc w:val="center"/>
              <w:rPr>
                <w:rFonts w:ascii="Times New Roman" w:eastAsia="Times New Roman" w:hAnsi="Times New Roman" w:cs="Times New Roman"/>
                <w:sz w:val="24"/>
                <w:szCs w:val="24"/>
                <w:lang w:val="ru-RU" w:eastAsia="ru-RU"/>
              </w:rPr>
            </w:pPr>
            <w:r w:rsidRPr="009E1A71">
              <w:rPr>
                <w:rFonts w:ascii="Times New Roman" w:eastAsia="Times New Roman" w:hAnsi="Times New Roman" w:cs="Times New Roman"/>
                <w:sz w:val="24"/>
                <w:szCs w:val="24"/>
                <w:lang w:eastAsia="ru-RU"/>
              </w:rPr>
              <w:t>1</w:t>
            </w:r>
            <w:r w:rsidRPr="009E1A71">
              <w:rPr>
                <w:rFonts w:ascii="Times New Roman" w:eastAsia="Times New Roman" w:hAnsi="Times New Roman" w:cs="Times New Roman"/>
                <w:sz w:val="24"/>
                <w:szCs w:val="24"/>
                <w:lang w:val="ru-RU" w:eastAsia="ru-RU"/>
              </w:rPr>
              <w:t>4</w:t>
            </w:r>
          </w:p>
        </w:tc>
        <w:tc>
          <w:tcPr>
            <w:tcW w:w="4189" w:type="dxa"/>
          </w:tcPr>
          <w:p w:rsidR="00014FAE" w:rsidRPr="009E1A71" w:rsidRDefault="00014FAE" w:rsidP="00014FAE">
            <w:pPr>
              <w:spacing w:after="0" w:line="240" w:lineRule="auto"/>
              <w:jc w:val="both"/>
              <w:rPr>
                <w:rFonts w:ascii="Times New Roman" w:hAnsi="Times New Roman" w:cs="Times New Roman"/>
                <w:b/>
                <w:bCs/>
                <w:color w:val="0C0000"/>
                <w:sz w:val="24"/>
                <w:szCs w:val="28"/>
                <w:lang w:val="ru-RU" w:eastAsia="ru-RU"/>
              </w:rPr>
            </w:pPr>
            <w:r w:rsidRPr="009E1A71">
              <w:rPr>
                <w:rFonts w:ascii="Times New Roman" w:hAnsi="Times New Roman" w:cs="Times New Roman"/>
                <w:b/>
                <w:bCs/>
                <w:color w:val="0C0000"/>
                <w:sz w:val="24"/>
                <w:szCs w:val="28"/>
                <w:lang w:val="ru-RU" w:eastAsia="ru-RU"/>
              </w:rPr>
              <w:t>Исполнен</w:t>
            </w:r>
          </w:p>
          <w:p w:rsidR="00014FAE" w:rsidRPr="009E1A71" w:rsidRDefault="00014FAE" w:rsidP="00014FAE">
            <w:pPr>
              <w:spacing w:after="0" w:line="240" w:lineRule="auto"/>
              <w:jc w:val="both"/>
              <w:rPr>
                <w:rFonts w:ascii="Times New Roman" w:hAnsi="Times New Roman" w:cs="Times New Roman"/>
                <w:bCs/>
                <w:color w:val="0C0000"/>
                <w:sz w:val="24"/>
                <w:szCs w:val="28"/>
                <w:lang w:val="ru-RU" w:eastAsia="ru-RU"/>
              </w:rPr>
            </w:pPr>
            <w:r w:rsidRPr="009E1A71">
              <w:rPr>
                <w:rFonts w:ascii="Times New Roman" w:hAnsi="Times New Roman" w:cs="Times New Roman"/>
                <w:bCs/>
                <w:color w:val="0C0000"/>
                <w:sz w:val="24"/>
                <w:szCs w:val="28"/>
                <w:lang w:val="ru-RU" w:eastAsia="ru-RU"/>
              </w:rPr>
              <w:t xml:space="preserve">По итогам 2018 года достигнуто планируемое целевое значение 14%. </w:t>
            </w:r>
          </w:p>
          <w:p w:rsidR="00E137DF" w:rsidRPr="005F5F00" w:rsidRDefault="00014FAE" w:rsidP="00F51344">
            <w:pPr>
              <w:spacing w:after="0" w:line="240" w:lineRule="auto"/>
              <w:jc w:val="both"/>
              <w:rPr>
                <w:rFonts w:ascii="Times New Roman" w:hAnsi="Times New Roman" w:cs="Times New Roman"/>
                <w:bCs/>
                <w:color w:val="0C0000"/>
                <w:sz w:val="24"/>
                <w:szCs w:val="28"/>
                <w:lang w:val="ru-RU" w:eastAsia="ru-RU"/>
              </w:rPr>
            </w:pPr>
            <w:r w:rsidRPr="009E1A71">
              <w:rPr>
                <w:rFonts w:ascii="Times New Roman" w:hAnsi="Times New Roman" w:cs="Times New Roman"/>
                <w:bCs/>
                <w:color w:val="0C0000"/>
                <w:sz w:val="24"/>
                <w:szCs w:val="28"/>
                <w:lang w:val="ru-RU" w:eastAsia="ru-RU"/>
              </w:rPr>
              <w:t xml:space="preserve">За отчетный период процедуру реабилитации завершили 42 должника, кредиторская задолженность которых составила 33,6 млрд. тенге, из них погашено – 9,2 млрд. тенге. Процедуру банкротства  завершили  – 225 </w:t>
            </w:r>
            <w:r w:rsidRPr="009E1A71">
              <w:rPr>
                <w:rFonts w:ascii="Times New Roman" w:hAnsi="Times New Roman" w:cs="Times New Roman"/>
                <w:bCs/>
                <w:color w:val="0C0000"/>
                <w:sz w:val="24"/>
                <w:szCs w:val="28"/>
                <w:lang w:val="ru-RU" w:eastAsia="ru-RU"/>
              </w:rPr>
              <w:lastRenderedPageBreak/>
              <w:t>должников (без учета должников, не имеющих активов) с суммой кредиторской задолженности –168,2 млрд. тенге, из них погашено – 19,1 млрд. тенге.</w:t>
            </w:r>
            <w:r w:rsidRPr="00324ED7">
              <w:rPr>
                <w:rFonts w:ascii="Times New Roman" w:hAnsi="Times New Roman" w:cs="Times New Roman"/>
                <w:bCs/>
                <w:color w:val="0C0000"/>
                <w:sz w:val="24"/>
                <w:szCs w:val="28"/>
                <w:lang w:val="ru-RU" w:eastAsia="ru-RU"/>
              </w:rPr>
              <w:t xml:space="preserve">    </w:t>
            </w:r>
          </w:p>
        </w:tc>
      </w:tr>
    </w:tbl>
    <w:p w:rsidR="0012777A" w:rsidRPr="0012777A" w:rsidRDefault="0012777A" w:rsidP="00A927FA">
      <w:pPr>
        <w:spacing w:after="0" w:line="240" w:lineRule="auto"/>
        <w:jc w:val="both"/>
        <w:rPr>
          <w:rFonts w:ascii="Times New Roman" w:hAnsi="Times New Roman"/>
          <w:sz w:val="28"/>
          <w:szCs w:val="28"/>
          <w:lang w:val="ru-RU"/>
        </w:rPr>
      </w:pPr>
    </w:p>
    <w:sectPr w:rsidR="0012777A" w:rsidRPr="0012777A" w:rsidSect="0012777A">
      <w:headerReference w:type="default" r:id="rId9"/>
      <w:type w:val="continuous"/>
      <w:pgSz w:w="11907" w:h="16839" w:code="9"/>
      <w:pgMar w:top="709"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17" w:rsidRDefault="00366617" w:rsidP="00EC2A6F">
      <w:pPr>
        <w:spacing w:after="0" w:line="240" w:lineRule="auto"/>
      </w:pPr>
      <w:r>
        <w:separator/>
      </w:r>
    </w:p>
  </w:endnote>
  <w:endnote w:type="continuationSeparator" w:id="0">
    <w:p w:rsidR="00366617" w:rsidRDefault="00366617" w:rsidP="00EC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17" w:rsidRDefault="00366617" w:rsidP="00EC2A6F">
      <w:pPr>
        <w:spacing w:after="0" w:line="240" w:lineRule="auto"/>
      </w:pPr>
      <w:r>
        <w:separator/>
      </w:r>
    </w:p>
  </w:footnote>
  <w:footnote w:type="continuationSeparator" w:id="0">
    <w:p w:rsidR="00366617" w:rsidRDefault="00366617" w:rsidP="00EC2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34295"/>
      <w:docPartObj>
        <w:docPartGallery w:val="Page Numbers (Top of Page)"/>
        <w:docPartUnique/>
      </w:docPartObj>
    </w:sdtPr>
    <w:sdtEndPr/>
    <w:sdtContent>
      <w:p w:rsidR="0097481B" w:rsidRDefault="0097481B">
        <w:pPr>
          <w:pStyle w:val="a7"/>
          <w:jc w:val="center"/>
        </w:pPr>
        <w:r>
          <w:fldChar w:fldCharType="begin"/>
        </w:r>
        <w:r>
          <w:instrText>PAGE   \* MERGEFORMAT</w:instrText>
        </w:r>
        <w:r>
          <w:fldChar w:fldCharType="separate"/>
        </w:r>
        <w:r w:rsidR="00C435C3" w:rsidRPr="00C435C3">
          <w:rPr>
            <w:noProof/>
            <w:lang w:val="ru-RU"/>
          </w:rPr>
          <w:t>7</w:t>
        </w:r>
        <w:r>
          <w:fldChar w:fldCharType="end"/>
        </w:r>
      </w:p>
    </w:sdtContent>
  </w:sdt>
  <w:p w:rsidR="0097481B" w:rsidRDefault="009748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91A"/>
    <w:multiLevelType w:val="hybridMultilevel"/>
    <w:tmpl w:val="27B25F4C"/>
    <w:lvl w:ilvl="0" w:tplc="6E869034">
      <w:start w:val="1"/>
      <w:numFmt w:val="bullet"/>
      <w:lvlText w:val="•"/>
      <w:lvlJc w:val="left"/>
      <w:pPr>
        <w:tabs>
          <w:tab w:val="num" w:pos="720"/>
        </w:tabs>
        <w:ind w:left="720" w:hanging="360"/>
      </w:pPr>
      <w:rPr>
        <w:rFonts w:ascii="Arial" w:hAnsi="Arial" w:hint="default"/>
      </w:rPr>
    </w:lvl>
    <w:lvl w:ilvl="1" w:tplc="7D5A4D66" w:tentative="1">
      <w:start w:val="1"/>
      <w:numFmt w:val="bullet"/>
      <w:lvlText w:val="•"/>
      <w:lvlJc w:val="left"/>
      <w:pPr>
        <w:tabs>
          <w:tab w:val="num" w:pos="1440"/>
        </w:tabs>
        <w:ind w:left="1440" w:hanging="360"/>
      </w:pPr>
      <w:rPr>
        <w:rFonts w:ascii="Arial" w:hAnsi="Arial" w:hint="default"/>
      </w:rPr>
    </w:lvl>
    <w:lvl w:ilvl="2" w:tplc="986CDA24" w:tentative="1">
      <w:start w:val="1"/>
      <w:numFmt w:val="bullet"/>
      <w:lvlText w:val="•"/>
      <w:lvlJc w:val="left"/>
      <w:pPr>
        <w:tabs>
          <w:tab w:val="num" w:pos="2160"/>
        </w:tabs>
        <w:ind w:left="2160" w:hanging="360"/>
      </w:pPr>
      <w:rPr>
        <w:rFonts w:ascii="Arial" w:hAnsi="Arial" w:hint="default"/>
      </w:rPr>
    </w:lvl>
    <w:lvl w:ilvl="3" w:tplc="542477CE" w:tentative="1">
      <w:start w:val="1"/>
      <w:numFmt w:val="bullet"/>
      <w:lvlText w:val="•"/>
      <w:lvlJc w:val="left"/>
      <w:pPr>
        <w:tabs>
          <w:tab w:val="num" w:pos="2880"/>
        </w:tabs>
        <w:ind w:left="2880" w:hanging="360"/>
      </w:pPr>
      <w:rPr>
        <w:rFonts w:ascii="Arial" w:hAnsi="Arial" w:hint="default"/>
      </w:rPr>
    </w:lvl>
    <w:lvl w:ilvl="4" w:tplc="83C48CA8" w:tentative="1">
      <w:start w:val="1"/>
      <w:numFmt w:val="bullet"/>
      <w:lvlText w:val="•"/>
      <w:lvlJc w:val="left"/>
      <w:pPr>
        <w:tabs>
          <w:tab w:val="num" w:pos="3600"/>
        </w:tabs>
        <w:ind w:left="3600" w:hanging="360"/>
      </w:pPr>
      <w:rPr>
        <w:rFonts w:ascii="Arial" w:hAnsi="Arial" w:hint="default"/>
      </w:rPr>
    </w:lvl>
    <w:lvl w:ilvl="5" w:tplc="A4328C78" w:tentative="1">
      <w:start w:val="1"/>
      <w:numFmt w:val="bullet"/>
      <w:lvlText w:val="•"/>
      <w:lvlJc w:val="left"/>
      <w:pPr>
        <w:tabs>
          <w:tab w:val="num" w:pos="4320"/>
        </w:tabs>
        <w:ind w:left="4320" w:hanging="360"/>
      </w:pPr>
      <w:rPr>
        <w:rFonts w:ascii="Arial" w:hAnsi="Arial" w:hint="default"/>
      </w:rPr>
    </w:lvl>
    <w:lvl w:ilvl="6" w:tplc="7F16FB3C" w:tentative="1">
      <w:start w:val="1"/>
      <w:numFmt w:val="bullet"/>
      <w:lvlText w:val="•"/>
      <w:lvlJc w:val="left"/>
      <w:pPr>
        <w:tabs>
          <w:tab w:val="num" w:pos="5040"/>
        </w:tabs>
        <w:ind w:left="5040" w:hanging="360"/>
      </w:pPr>
      <w:rPr>
        <w:rFonts w:ascii="Arial" w:hAnsi="Arial" w:hint="default"/>
      </w:rPr>
    </w:lvl>
    <w:lvl w:ilvl="7" w:tplc="BF42ED22" w:tentative="1">
      <w:start w:val="1"/>
      <w:numFmt w:val="bullet"/>
      <w:lvlText w:val="•"/>
      <w:lvlJc w:val="left"/>
      <w:pPr>
        <w:tabs>
          <w:tab w:val="num" w:pos="5760"/>
        </w:tabs>
        <w:ind w:left="5760" w:hanging="360"/>
      </w:pPr>
      <w:rPr>
        <w:rFonts w:ascii="Arial" w:hAnsi="Arial" w:hint="default"/>
      </w:rPr>
    </w:lvl>
    <w:lvl w:ilvl="8" w:tplc="EDBCD2F2" w:tentative="1">
      <w:start w:val="1"/>
      <w:numFmt w:val="bullet"/>
      <w:lvlText w:val="•"/>
      <w:lvlJc w:val="left"/>
      <w:pPr>
        <w:tabs>
          <w:tab w:val="num" w:pos="6480"/>
        </w:tabs>
        <w:ind w:left="6480" w:hanging="360"/>
      </w:pPr>
      <w:rPr>
        <w:rFonts w:ascii="Arial" w:hAnsi="Arial" w:hint="default"/>
      </w:rPr>
    </w:lvl>
  </w:abstractNum>
  <w:abstractNum w:abstractNumId="1">
    <w:nsid w:val="181E6374"/>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6F70C8"/>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0040"/>
    <w:multiLevelType w:val="hybridMultilevel"/>
    <w:tmpl w:val="97A28E30"/>
    <w:lvl w:ilvl="0" w:tplc="22F0BF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15CEF"/>
    <w:multiLevelType w:val="hybridMultilevel"/>
    <w:tmpl w:val="F16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6A7DB3"/>
    <w:multiLevelType w:val="hybridMultilevel"/>
    <w:tmpl w:val="5B32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242436"/>
    <w:multiLevelType w:val="hybridMultilevel"/>
    <w:tmpl w:val="F16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6A31A9"/>
    <w:multiLevelType w:val="hybridMultilevel"/>
    <w:tmpl w:val="BB50946A"/>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071C83"/>
    <w:multiLevelType w:val="multilevel"/>
    <w:tmpl w:val="F0045F1A"/>
    <w:lvl w:ilvl="0">
      <w:start w:val="1"/>
      <w:numFmt w:val="decimal"/>
      <w:lvlText w:val="%1"/>
      <w:lvlJc w:val="left"/>
      <w:pPr>
        <w:ind w:left="540" w:hanging="540"/>
      </w:pPr>
      <w:rPr>
        <w:rFonts w:hint="default"/>
        <w:color w:val="000000"/>
      </w:rPr>
    </w:lvl>
    <w:lvl w:ilvl="1">
      <w:start w:val="1"/>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9">
    <w:nsid w:val="3E045274"/>
    <w:multiLevelType w:val="hybridMultilevel"/>
    <w:tmpl w:val="07C2F492"/>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126F40"/>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590E83"/>
    <w:multiLevelType w:val="hybridMultilevel"/>
    <w:tmpl w:val="BF326856"/>
    <w:lvl w:ilvl="0" w:tplc="74D241C2">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0"/>
  </w:num>
  <w:num w:numId="5">
    <w:abstractNumId w:val="0"/>
  </w:num>
  <w:num w:numId="6">
    <w:abstractNumId w:val="1"/>
  </w:num>
  <w:num w:numId="7">
    <w:abstractNumId w:val="3"/>
  </w:num>
  <w:num w:numId="8">
    <w:abstractNumId w:val="7"/>
  </w:num>
  <w:num w:numId="9">
    <w:abstractNumId w:val="9"/>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08"/>
    <w:rsid w:val="00002057"/>
    <w:rsid w:val="000033E0"/>
    <w:rsid w:val="00003774"/>
    <w:rsid w:val="000049BA"/>
    <w:rsid w:val="00005C09"/>
    <w:rsid w:val="00012196"/>
    <w:rsid w:val="00014B6D"/>
    <w:rsid w:val="00014FAE"/>
    <w:rsid w:val="00030B17"/>
    <w:rsid w:val="00037DBB"/>
    <w:rsid w:val="00044B0E"/>
    <w:rsid w:val="0005105C"/>
    <w:rsid w:val="00051443"/>
    <w:rsid w:val="00062685"/>
    <w:rsid w:val="00065AC5"/>
    <w:rsid w:val="000857BA"/>
    <w:rsid w:val="00090F54"/>
    <w:rsid w:val="000965FF"/>
    <w:rsid w:val="000A65F1"/>
    <w:rsid w:val="000B597E"/>
    <w:rsid w:val="000C67D8"/>
    <w:rsid w:val="000E5A16"/>
    <w:rsid w:val="000F2068"/>
    <w:rsid w:val="000F53D9"/>
    <w:rsid w:val="000F5B0A"/>
    <w:rsid w:val="000F7C12"/>
    <w:rsid w:val="00103DA6"/>
    <w:rsid w:val="00110C60"/>
    <w:rsid w:val="00111CC3"/>
    <w:rsid w:val="0011477D"/>
    <w:rsid w:val="00115C04"/>
    <w:rsid w:val="0011754D"/>
    <w:rsid w:val="00117854"/>
    <w:rsid w:val="00121228"/>
    <w:rsid w:val="0012671A"/>
    <w:rsid w:val="0012777A"/>
    <w:rsid w:val="00161B86"/>
    <w:rsid w:val="00180785"/>
    <w:rsid w:val="00182405"/>
    <w:rsid w:val="00192A27"/>
    <w:rsid w:val="001A0040"/>
    <w:rsid w:val="001A2335"/>
    <w:rsid w:val="001A54DC"/>
    <w:rsid w:val="001A71B4"/>
    <w:rsid w:val="001A7406"/>
    <w:rsid w:val="001B419D"/>
    <w:rsid w:val="001B559A"/>
    <w:rsid w:val="001C67BC"/>
    <w:rsid w:val="001C7168"/>
    <w:rsid w:val="001D3F94"/>
    <w:rsid w:val="001D450B"/>
    <w:rsid w:val="001D600E"/>
    <w:rsid w:val="001E1CC4"/>
    <w:rsid w:val="001E248F"/>
    <w:rsid w:val="002053E0"/>
    <w:rsid w:val="00205E4C"/>
    <w:rsid w:val="002068BB"/>
    <w:rsid w:val="00210168"/>
    <w:rsid w:val="00217011"/>
    <w:rsid w:val="002178A0"/>
    <w:rsid w:val="002275A5"/>
    <w:rsid w:val="002358A7"/>
    <w:rsid w:val="00236623"/>
    <w:rsid w:val="00271443"/>
    <w:rsid w:val="00274DFF"/>
    <w:rsid w:val="00275620"/>
    <w:rsid w:val="0027566E"/>
    <w:rsid w:val="0028244E"/>
    <w:rsid w:val="00287AB2"/>
    <w:rsid w:val="002B333B"/>
    <w:rsid w:val="002B695E"/>
    <w:rsid w:val="002C610D"/>
    <w:rsid w:val="002D50BE"/>
    <w:rsid w:val="002F2012"/>
    <w:rsid w:val="002F38CA"/>
    <w:rsid w:val="00301E8E"/>
    <w:rsid w:val="003110F1"/>
    <w:rsid w:val="00321520"/>
    <w:rsid w:val="00324ED7"/>
    <w:rsid w:val="00325576"/>
    <w:rsid w:val="00325C8F"/>
    <w:rsid w:val="00330375"/>
    <w:rsid w:val="003325D1"/>
    <w:rsid w:val="00341CA1"/>
    <w:rsid w:val="00342CD8"/>
    <w:rsid w:val="00347DCC"/>
    <w:rsid w:val="003617BD"/>
    <w:rsid w:val="00362659"/>
    <w:rsid w:val="00366617"/>
    <w:rsid w:val="00366AD1"/>
    <w:rsid w:val="00372B79"/>
    <w:rsid w:val="0037698F"/>
    <w:rsid w:val="00384689"/>
    <w:rsid w:val="0038651F"/>
    <w:rsid w:val="00391CD3"/>
    <w:rsid w:val="003942C7"/>
    <w:rsid w:val="00394315"/>
    <w:rsid w:val="003A02BB"/>
    <w:rsid w:val="003A27D1"/>
    <w:rsid w:val="003B19B4"/>
    <w:rsid w:val="003C1BAB"/>
    <w:rsid w:val="003D6991"/>
    <w:rsid w:val="003D76E0"/>
    <w:rsid w:val="003E29EA"/>
    <w:rsid w:val="003E2F42"/>
    <w:rsid w:val="003F3A93"/>
    <w:rsid w:val="00412F33"/>
    <w:rsid w:val="00413162"/>
    <w:rsid w:val="00414260"/>
    <w:rsid w:val="0041560E"/>
    <w:rsid w:val="00423AEB"/>
    <w:rsid w:val="00426A4A"/>
    <w:rsid w:val="00436D3F"/>
    <w:rsid w:val="00441E1A"/>
    <w:rsid w:val="00445C9F"/>
    <w:rsid w:val="00451344"/>
    <w:rsid w:val="00454B31"/>
    <w:rsid w:val="00457115"/>
    <w:rsid w:val="004635F2"/>
    <w:rsid w:val="00466A31"/>
    <w:rsid w:val="004709D9"/>
    <w:rsid w:val="00473042"/>
    <w:rsid w:val="00473A58"/>
    <w:rsid w:val="00482254"/>
    <w:rsid w:val="0048440B"/>
    <w:rsid w:val="0048688D"/>
    <w:rsid w:val="00487D18"/>
    <w:rsid w:val="00497D82"/>
    <w:rsid w:val="004A036A"/>
    <w:rsid w:val="004A1825"/>
    <w:rsid w:val="004B0DBF"/>
    <w:rsid w:val="004B11A3"/>
    <w:rsid w:val="004B3D6A"/>
    <w:rsid w:val="004C5757"/>
    <w:rsid w:val="004D21EE"/>
    <w:rsid w:val="004D552C"/>
    <w:rsid w:val="004D5FDF"/>
    <w:rsid w:val="004E1254"/>
    <w:rsid w:val="004E4B40"/>
    <w:rsid w:val="004F507F"/>
    <w:rsid w:val="00511FEF"/>
    <w:rsid w:val="00514497"/>
    <w:rsid w:val="00517A01"/>
    <w:rsid w:val="00520B42"/>
    <w:rsid w:val="00524F67"/>
    <w:rsid w:val="005309EF"/>
    <w:rsid w:val="00531C7A"/>
    <w:rsid w:val="0053294C"/>
    <w:rsid w:val="00533F37"/>
    <w:rsid w:val="0053715E"/>
    <w:rsid w:val="00542DA5"/>
    <w:rsid w:val="00545919"/>
    <w:rsid w:val="00576EC0"/>
    <w:rsid w:val="00577287"/>
    <w:rsid w:val="00577A28"/>
    <w:rsid w:val="005879E3"/>
    <w:rsid w:val="00590B8B"/>
    <w:rsid w:val="005A4802"/>
    <w:rsid w:val="005A51C0"/>
    <w:rsid w:val="005C4F0D"/>
    <w:rsid w:val="005C5F5A"/>
    <w:rsid w:val="005D07B4"/>
    <w:rsid w:val="005D6310"/>
    <w:rsid w:val="005F4A90"/>
    <w:rsid w:val="005F5F00"/>
    <w:rsid w:val="005F7CA1"/>
    <w:rsid w:val="00603857"/>
    <w:rsid w:val="006074C4"/>
    <w:rsid w:val="00612A38"/>
    <w:rsid w:val="00613F4C"/>
    <w:rsid w:val="00622909"/>
    <w:rsid w:val="00623B43"/>
    <w:rsid w:val="00626634"/>
    <w:rsid w:val="00626A84"/>
    <w:rsid w:val="00630B90"/>
    <w:rsid w:val="00631E04"/>
    <w:rsid w:val="0063226E"/>
    <w:rsid w:val="006336D3"/>
    <w:rsid w:val="006338E5"/>
    <w:rsid w:val="00636126"/>
    <w:rsid w:val="00641242"/>
    <w:rsid w:val="00642A41"/>
    <w:rsid w:val="00645AFC"/>
    <w:rsid w:val="00650AD9"/>
    <w:rsid w:val="0067281F"/>
    <w:rsid w:val="00682D27"/>
    <w:rsid w:val="00695056"/>
    <w:rsid w:val="006A1E7A"/>
    <w:rsid w:val="006A312D"/>
    <w:rsid w:val="006C5D70"/>
    <w:rsid w:val="006D0120"/>
    <w:rsid w:val="006D31F7"/>
    <w:rsid w:val="006D3A7E"/>
    <w:rsid w:val="006E0031"/>
    <w:rsid w:val="006E1B24"/>
    <w:rsid w:val="006E3A9B"/>
    <w:rsid w:val="006E760F"/>
    <w:rsid w:val="006F5B0F"/>
    <w:rsid w:val="007140CC"/>
    <w:rsid w:val="0073060C"/>
    <w:rsid w:val="00735AE9"/>
    <w:rsid w:val="007366C2"/>
    <w:rsid w:val="00736E0C"/>
    <w:rsid w:val="0074351E"/>
    <w:rsid w:val="007601E3"/>
    <w:rsid w:val="007649FD"/>
    <w:rsid w:val="007669A2"/>
    <w:rsid w:val="00775813"/>
    <w:rsid w:val="00782C01"/>
    <w:rsid w:val="0078421B"/>
    <w:rsid w:val="00792930"/>
    <w:rsid w:val="007936C9"/>
    <w:rsid w:val="007972B7"/>
    <w:rsid w:val="007A26E0"/>
    <w:rsid w:val="007B25E0"/>
    <w:rsid w:val="007B2F23"/>
    <w:rsid w:val="007B5748"/>
    <w:rsid w:val="007C1C29"/>
    <w:rsid w:val="007C6290"/>
    <w:rsid w:val="007D179F"/>
    <w:rsid w:val="007D6D41"/>
    <w:rsid w:val="007E1711"/>
    <w:rsid w:val="007E1966"/>
    <w:rsid w:val="007E476F"/>
    <w:rsid w:val="007E4B9F"/>
    <w:rsid w:val="007F3F71"/>
    <w:rsid w:val="00821358"/>
    <w:rsid w:val="00823DB5"/>
    <w:rsid w:val="0083326D"/>
    <w:rsid w:val="0083733F"/>
    <w:rsid w:val="008544AE"/>
    <w:rsid w:val="0085692E"/>
    <w:rsid w:val="008617F4"/>
    <w:rsid w:val="00865DF2"/>
    <w:rsid w:val="008726D6"/>
    <w:rsid w:val="00873D44"/>
    <w:rsid w:val="00885ECB"/>
    <w:rsid w:val="00894A61"/>
    <w:rsid w:val="008A15A9"/>
    <w:rsid w:val="008A1935"/>
    <w:rsid w:val="008A1BBD"/>
    <w:rsid w:val="008B2C8B"/>
    <w:rsid w:val="008C6741"/>
    <w:rsid w:val="008D1014"/>
    <w:rsid w:val="008E324F"/>
    <w:rsid w:val="008E3340"/>
    <w:rsid w:val="008E697E"/>
    <w:rsid w:val="008E6BFE"/>
    <w:rsid w:val="008F32DD"/>
    <w:rsid w:val="00901651"/>
    <w:rsid w:val="009034D6"/>
    <w:rsid w:val="0093131B"/>
    <w:rsid w:val="00940958"/>
    <w:rsid w:val="00943336"/>
    <w:rsid w:val="009445C3"/>
    <w:rsid w:val="009514A6"/>
    <w:rsid w:val="00955CDF"/>
    <w:rsid w:val="00960494"/>
    <w:rsid w:val="00974415"/>
    <w:rsid w:val="0097481B"/>
    <w:rsid w:val="00975804"/>
    <w:rsid w:val="00981B27"/>
    <w:rsid w:val="00982344"/>
    <w:rsid w:val="00990075"/>
    <w:rsid w:val="00991B9F"/>
    <w:rsid w:val="009B15E6"/>
    <w:rsid w:val="009B1DF0"/>
    <w:rsid w:val="009B6750"/>
    <w:rsid w:val="009C08B1"/>
    <w:rsid w:val="009C4891"/>
    <w:rsid w:val="009C49BF"/>
    <w:rsid w:val="009E1A71"/>
    <w:rsid w:val="009F097A"/>
    <w:rsid w:val="00A04E7C"/>
    <w:rsid w:val="00A149E6"/>
    <w:rsid w:val="00A15391"/>
    <w:rsid w:val="00A22823"/>
    <w:rsid w:val="00A22D9E"/>
    <w:rsid w:val="00A2774D"/>
    <w:rsid w:val="00A30BE8"/>
    <w:rsid w:val="00A32C7F"/>
    <w:rsid w:val="00A407B0"/>
    <w:rsid w:val="00A47D2B"/>
    <w:rsid w:val="00A54619"/>
    <w:rsid w:val="00A73159"/>
    <w:rsid w:val="00A85632"/>
    <w:rsid w:val="00A85C6D"/>
    <w:rsid w:val="00A927FA"/>
    <w:rsid w:val="00AA4254"/>
    <w:rsid w:val="00AC5B08"/>
    <w:rsid w:val="00AC7495"/>
    <w:rsid w:val="00AD25E2"/>
    <w:rsid w:val="00AE138E"/>
    <w:rsid w:val="00AE41EC"/>
    <w:rsid w:val="00AE579B"/>
    <w:rsid w:val="00AE721D"/>
    <w:rsid w:val="00B1152A"/>
    <w:rsid w:val="00B16FAC"/>
    <w:rsid w:val="00B21909"/>
    <w:rsid w:val="00B35FB1"/>
    <w:rsid w:val="00B50C27"/>
    <w:rsid w:val="00B54EE8"/>
    <w:rsid w:val="00B557CD"/>
    <w:rsid w:val="00B56CB3"/>
    <w:rsid w:val="00B60744"/>
    <w:rsid w:val="00B61328"/>
    <w:rsid w:val="00B667BC"/>
    <w:rsid w:val="00B67375"/>
    <w:rsid w:val="00B72990"/>
    <w:rsid w:val="00B76777"/>
    <w:rsid w:val="00B8206F"/>
    <w:rsid w:val="00B83A47"/>
    <w:rsid w:val="00B868CD"/>
    <w:rsid w:val="00B906A0"/>
    <w:rsid w:val="00BA1D5A"/>
    <w:rsid w:val="00BA3F1F"/>
    <w:rsid w:val="00BA44BC"/>
    <w:rsid w:val="00BB1C7F"/>
    <w:rsid w:val="00BC087E"/>
    <w:rsid w:val="00BC1034"/>
    <w:rsid w:val="00BE44CE"/>
    <w:rsid w:val="00BF14C3"/>
    <w:rsid w:val="00C15360"/>
    <w:rsid w:val="00C15EA2"/>
    <w:rsid w:val="00C23CB4"/>
    <w:rsid w:val="00C435C3"/>
    <w:rsid w:val="00C4631A"/>
    <w:rsid w:val="00C51FDC"/>
    <w:rsid w:val="00C524E9"/>
    <w:rsid w:val="00C57B0C"/>
    <w:rsid w:val="00C66220"/>
    <w:rsid w:val="00C669D9"/>
    <w:rsid w:val="00C73C79"/>
    <w:rsid w:val="00C764A2"/>
    <w:rsid w:val="00C804F3"/>
    <w:rsid w:val="00C815DC"/>
    <w:rsid w:val="00C85AC9"/>
    <w:rsid w:val="00C87B93"/>
    <w:rsid w:val="00C91269"/>
    <w:rsid w:val="00CA1FE2"/>
    <w:rsid w:val="00CA25D2"/>
    <w:rsid w:val="00CA3327"/>
    <w:rsid w:val="00CC021C"/>
    <w:rsid w:val="00CC77D7"/>
    <w:rsid w:val="00CC799A"/>
    <w:rsid w:val="00CD1345"/>
    <w:rsid w:val="00CE474D"/>
    <w:rsid w:val="00CE6998"/>
    <w:rsid w:val="00CE721D"/>
    <w:rsid w:val="00CE7D08"/>
    <w:rsid w:val="00CF4633"/>
    <w:rsid w:val="00D02CF5"/>
    <w:rsid w:val="00D02D2A"/>
    <w:rsid w:val="00D10EB4"/>
    <w:rsid w:val="00D14531"/>
    <w:rsid w:val="00D2424C"/>
    <w:rsid w:val="00D27672"/>
    <w:rsid w:val="00D35EF3"/>
    <w:rsid w:val="00D37DC4"/>
    <w:rsid w:val="00D4433E"/>
    <w:rsid w:val="00D528A0"/>
    <w:rsid w:val="00D61190"/>
    <w:rsid w:val="00D63CCF"/>
    <w:rsid w:val="00D75FE3"/>
    <w:rsid w:val="00D761AA"/>
    <w:rsid w:val="00D83031"/>
    <w:rsid w:val="00D841B2"/>
    <w:rsid w:val="00D86DEE"/>
    <w:rsid w:val="00D958FD"/>
    <w:rsid w:val="00D97D01"/>
    <w:rsid w:val="00DA31BE"/>
    <w:rsid w:val="00DA6774"/>
    <w:rsid w:val="00DB4C7F"/>
    <w:rsid w:val="00DF3886"/>
    <w:rsid w:val="00E0752F"/>
    <w:rsid w:val="00E1374B"/>
    <w:rsid w:val="00E137DF"/>
    <w:rsid w:val="00E264C5"/>
    <w:rsid w:val="00E439F9"/>
    <w:rsid w:val="00E43F51"/>
    <w:rsid w:val="00E467CC"/>
    <w:rsid w:val="00E51741"/>
    <w:rsid w:val="00E54A53"/>
    <w:rsid w:val="00E6783F"/>
    <w:rsid w:val="00E71E90"/>
    <w:rsid w:val="00E80EBE"/>
    <w:rsid w:val="00E81561"/>
    <w:rsid w:val="00E93356"/>
    <w:rsid w:val="00E935FB"/>
    <w:rsid w:val="00E96CD9"/>
    <w:rsid w:val="00EA5737"/>
    <w:rsid w:val="00EB0B19"/>
    <w:rsid w:val="00EB6DC7"/>
    <w:rsid w:val="00EC2A6F"/>
    <w:rsid w:val="00EC49F7"/>
    <w:rsid w:val="00ED675F"/>
    <w:rsid w:val="00EF1F79"/>
    <w:rsid w:val="00F00C2D"/>
    <w:rsid w:val="00F05FF7"/>
    <w:rsid w:val="00F317DB"/>
    <w:rsid w:val="00F407CE"/>
    <w:rsid w:val="00F40D03"/>
    <w:rsid w:val="00F51344"/>
    <w:rsid w:val="00F60043"/>
    <w:rsid w:val="00F70874"/>
    <w:rsid w:val="00F7449C"/>
    <w:rsid w:val="00F76443"/>
    <w:rsid w:val="00F819B4"/>
    <w:rsid w:val="00F8769B"/>
    <w:rsid w:val="00F879AB"/>
    <w:rsid w:val="00F933E7"/>
    <w:rsid w:val="00FA4DA3"/>
    <w:rsid w:val="00FC089D"/>
    <w:rsid w:val="00FC2978"/>
    <w:rsid w:val="00FC62C5"/>
    <w:rsid w:val="00FC71E0"/>
    <w:rsid w:val="00FD039C"/>
    <w:rsid w:val="00FD4C46"/>
    <w:rsid w:val="00FE5233"/>
    <w:rsid w:val="00FE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B2"/>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0965FF"/>
    <w:pPr>
      <w:ind w:left="720"/>
      <w:contextualSpacing/>
    </w:pPr>
  </w:style>
  <w:style w:type="paragraph" w:styleId="a5">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6"/>
    <w:uiPriority w:val="99"/>
    <w:unhideWhenUsed/>
    <w:qFormat/>
    <w:rsid w:val="0021016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5"/>
    <w:uiPriority w:val="99"/>
    <w:qFormat/>
    <w:locked/>
    <w:rsid w:val="00210168"/>
    <w:rPr>
      <w:rFonts w:ascii="Times New Roman" w:eastAsia="Times New Roman" w:hAnsi="Times New Roman" w:cs="Times New Roman"/>
      <w:sz w:val="24"/>
      <w:szCs w:val="24"/>
      <w:lang w:val="x-none" w:eastAsia="ru-RU"/>
    </w:rPr>
  </w:style>
  <w:style w:type="paragraph" w:styleId="a7">
    <w:name w:val="header"/>
    <w:basedOn w:val="a"/>
    <w:link w:val="a8"/>
    <w:uiPriority w:val="99"/>
    <w:unhideWhenUsed/>
    <w:rsid w:val="00EC2A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2A6F"/>
    <w:rPr>
      <w:rFonts w:ascii="Consolas" w:eastAsia="Consolas" w:hAnsi="Consolas" w:cs="Consolas"/>
      <w:lang w:val="en-US"/>
    </w:rPr>
  </w:style>
  <w:style w:type="paragraph" w:styleId="a9">
    <w:name w:val="footer"/>
    <w:basedOn w:val="a"/>
    <w:link w:val="aa"/>
    <w:uiPriority w:val="99"/>
    <w:unhideWhenUsed/>
    <w:rsid w:val="00EC2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A6F"/>
    <w:rPr>
      <w:rFonts w:ascii="Consolas" w:eastAsia="Consolas" w:hAnsi="Consolas" w:cs="Consolas"/>
      <w:lang w:val="en-US"/>
    </w:rPr>
  </w:style>
  <w:style w:type="table" w:styleId="ab">
    <w:name w:val="Table Grid"/>
    <w:basedOn w:val="a1"/>
    <w:uiPriority w:val="39"/>
    <w:rsid w:val="00E4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ез интервала Знак Знак Знак Знак Знак Знак Знак"/>
    <w:qFormat/>
    <w:rsid w:val="0053715E"/>
    <w:pPr>
      <w:spacing w:after="0" w:line="240" w:lineRule="auto"/>
    </w:pPr>
    <w:rPr>
      <w:rFonts w:ascii="Times New Roman" w:eastAsia="Times New Roman" w:hAnsi="Times New Roman" w:cs="Times New Roman"/>
      <w:color w:val="000000"/>
      <w:sz w:val="24"/>
      <w:szCs w:val="24"/>
      <w:lang w:eastAsia="ru-RU"/>
    </w:rPr>
  </w:style>
  <w:style w:type="paragraph" w:styleId="ad">
    <w:name w:val="Body Text"/>
    <w:aliases w:val="Body Text Char,gl,Body3,paragraph 2,paragraph 21,L1 Body Text"/>
    <w:basedOn w:val="a"/>
    <w:link w:val="ae"/>
    <w:rsid w:val="00B76777"/>
    <w:pPr>
      <w:spacing w:after="120" w:line="240" w:lineRule="auto"/>
      <w:ind w:firstLine="720"/>
      <w:jc w:val="both"/>
    </w:pPr>
    <w:rPr>
      <w:rFonts w:ascii="Calibri" w:eastAsia="Times New Roman" w:hAnsi="Calibri" w:cs="Times New Roman"/>
      <w:lang w:val="x-none"/>
    </w:rPr>
  </w:style>
  <w:style w:type="character" w:customStyle="1" w:styleId="ae">
    <w:name w:val="Основной текст Знак"/>
    <w:aliases w:val="Body Text Char Знак,gl Знак,Body3 Знак,paragraph 2 Знак,paragraph 21 Знак,L1 Body Text Знак"/>
    <w:basedOn w:val="a0"/>
    <w:link w:val="ad"/>
    <w:rsid w:val="00B76777"/>
    <w:rPr>
      <w:rFonts w:ascii="Calibri" w:eastAsia="Times New Roman" w:hAnsi="Calibri" w:cs="Times New Roman"/>
      <w:lang w:val="x-none"/>
    </w:rPr>
  </w:style>
  <w:style w:type="paragraph" w:styleId="af">
    <w:name w:val="No Spacing"/>
    <w:aliases w:val="Обя,мелкий,No Spacing,норма,No Spacing1,мой рабочий,Айгерим,свой,Без интеБез интервала,Без интервала11"/>
    <w:link w:val="af0"/>
    <w:uiPriority w:val="1"/>
    <w:qFormat/>
    <w:rsid w:val="00DA6774"/>
    <w:pPr>
      <w:spacing w:after="0" w:line="240" w:lineRule="auto"/>
    </w:pPr>
    <w:rPr>
      <w:rFonts w:ascii="Calibri" w:eastAsia="Calibri" w:hAnsi="Calibri" w:cs="Times New Roman"/>
    </w:rPr>
  </w:style>
  <w:style w:type="character" w:styleId="af1">
    <w:name w:val="Strong"/>
    <w:basedOn w:val="a0"/>
    <w:uiPriority w:val="22"/>
    <w:qFormat/>
    <w:rsid w:val="002068BB"/>
    <w:rPr>
      <w:b/>
      <w:bCs/>
    </w:rPr>
  </w:style>
  <w:style w:type="paragraph" w:customStyle="1" w:styleId="Default">
    <w:name w:val="Default"/>
    <w:rsid w:val="00682D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BA3F1F"/>
    <w:rPr>
      <w:rFonts w:ascii="Consolas" w:eastAsia="Consolas" w:hAnsi="Consolas" w:cs="Consolas"/>
      <w:lang w:val="en-US"/>
    </w:rPr>
  </w:style>
  <w:style w:type="paragraph" w:styleId="af2">
    <w:name w:val="Balloon Text"/>
    <w:basedOn w:val="a"/>
    <w:link w:val="af3"/>
    <w:uiPriority w:val="99"/>
    <w:semiHidden/>
    <w:unhideWhenUsed/>
    <w:rsid w:val="006322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3226E"/>
    <w:rPr>
      <w:rFonts w:ascii="Tahoma" w:eastAsia="Consolas" w:hAnsi="Tahoma" w:cs="Tahoma"/>
      <w:sz w:val="16"/>
      <w:szCs w:val="16"/>
      <w:lang w:val="en-US"/>
    </w:rPr>
  </w:style>
  <w:style w:type="paragraph" w:customStyle="1" w:styleId="1">
    <w:name w:val="Без интервала1"/>
    <w:link w:val="NoSpacingChar1"/>
    <w:rsid w:val="00002057"/>
    <w:pPr>
      <w:spacing w:after="0" w:line="240" w:lineRule="auto"/>
    </w:pPr>
    <w:rPr>
      <w:rFonts w:ascii="Calibri" w:eastAsia="Calibri" w:hAnsi="Calibri" w:cs="Calibri"/>
      <w:sz w:val="20"/>
      <w:szCs w:val="20"/>
      <w:lang w:eastAsia="ru-RU"/>
    </w:rPr>
  </w:style>
  <w:style w:type="character" w:customStyle="1" w:styleId="NoSpacingChar1">
    <w:name w:val="No Spacing Char1"/>
    <w:link w:val="1"/>
    <w:locked/>
    <w:rsid w:val="00002057"/>
    <w:rPr>
      <w:rFonts w:ascii="Calibri" w:eastAsia="Calibri" w:hAnsi="Calibri" w:cs="Calibri"/>
      <w:sz w:val="20"/>
      <w:szCs w:val="20"/>
      <w:lang w:eastAsia="ru-RU"/>
    </w:rPr>
  </w:style>
  <w:style w:type="paragraph" w:customStyle="1" w:styleId="2">
    <w:name w:val="Абзац списка2"/>
    <w:basedOn w:val="a"/>
    <w:qFormat/>
    <w:rsid w:val="00E51741"/>
    <w:pPr>
      <w:ind w:left="720"/>
    </w:pPr>
    <w:rPr>
      <w:rFonts w:ascii="Calibri" w:eastAsia="Times New Roman" w:hAnsi="Calibri" w:cs="Calibri"/>
      <w:lang w:val="ru-RU"/>
    </w:rPr>
  </w:style>
  <w:style w:type="paragraph" w:styleId="af4">
    <w:name w:val="Body Text Indent"/>
    <w:basedOn w:val="a"/>
    <w:link w:val="af5"/>
    <w:uiPriority w:val="99"/>
    <w:semiHidden/>
    <w:unhideWhenUsed/>
    <w:rsid w:val="00C669D9"/>
    <w:pPr>
      <w:spacing w:after="120"/>
      <w:ind w:left="283"/>
    </w:pPr>
  </w:style>
  <w:style w:type="character" w:customStyle="1" w:styleId="af5">
    <w:name w:val="Основной текст с отступом Знак"/>
    <w:basedOn w:val="a0"/>
    <w:link w:val="af4"/>
    <w:uiPriority w:val="99"/>
    <w:semiHidden/>
    <w:rsid w:val="00C669D9"/>
    <w:rPr>
      <w:rFonts w:ascii="Consolas" w:eastAsia="Consolas" w:hAnsi="Consolas" w:cs="Consolas"/>
      <w:lang w:val="en-US"/>
    </w:rPr>
  </w:style>
  <w:style w:type="paragraph" w:customStyle="1" w:styleId="af6">
    <w:name w:val="Без итервала"/>
    <w:basedOn w:val="af"/>
    <w:qFormat/>
    <w:rsid w:val="004E1254"/>
    <w:rPr>
      <w:rFonts w:ascii="Times New Roman" w:eastAsia="Consolas" w:hAnsi="Times New Roman"/>
      <w:sz w:val="28"/>
      <w:szCs w:val="28"/>
    </w:rPr>
  </w:style>
  <w:style w:type="character" w:customStyle="1" w:styleId="af0">
    <w:name w:val="Без интервала Знак"/>
    <w:aliases w:val="Обя Знак,мелкий Знак,No Spacing Знак,норма Знак,No Spacing1 Знак,мой рабочий Знак,Айгерим Знак,свой Знак,Без интеБез интервала Знак,Без интервала11 Знак"/>
    <w:link w:val="af"/>
    <w:uiPriority w:val="99"/>
    <w:locked/>
    <w:rsid w:val="00205E4C"/>
    <w:rPr>
      <w:rFonts w:ascii="Calibri" w:eastAsia="Calibri" w:hAnsi="Calibri" w:cs="Times New Roman"/>
    </w:rPr>
  </w:style>
  <w:style w:type="character" w:customStyle="1" w:styleId="tlid-translation">
    <w:name w:val="tlid-translation"/>
    <w:basedOn w:val="a0"/>
    <w:rsid w:val="001A7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B2"/>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0965FF"/>
    <w:pPr>
      <w:ind w:left="720"/>
      <w:contextualSpacing/>
    </w:pPr>
  </w:style>
  <w:style w:type="paragraph" w:styleId="a5">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6"/>
    <w:uiPriority w:val="99"/>
    <w:unhideWhenUsed/>
    <w:qFormat/>
    <w:rsid w:val="0021016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5"/>
    <w:uiPriority w:val="99"/>
    <w:qFormat/>
    <w:locked/>
    <w:rsid w:val="00210168"/>
    <w:rPr>
      <w:rFonts w:ascii="Times New Roman" w:eastAsia="Times New Roman" w:hAnsi="Times New Roman" w:cs="Times New Roman"/>
      <w:sz w:val="24"/>
      <w:szCs w:val="24"/>
      <w:lang w:val="x-none" w:eastAsia="ru-RU"/>
    </w:rPr>
  </w:style>
  <w:style w:type="paragraph" w:styleId="a7">
    <w:name w:val="header"/>
    <w:basedOn w:val="a"/>
    <w:link w:val="a8"/>
    <w:uiPriority w:val="99"/>
    <w:unhideWhenUsed/>
    <w:rsid w:val="00EC2A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2A6F"/>
    <w:rPr>
      <w:rFonts w:ascii="Consolas" w:eastAsia="Consolas" w:hAnsi="Consolas" w:cs="Consolas"/>
      <w:lang w:val="en-US"/>
    </w:rPr>
  </w:style>
  <w:style w:type="paragraph" w:styleId="a9">
    <w:name w:val="footer"/>
    <w:basedOn w:val="a"/>
    <w:link w:val="aa"/>
    <w:uiPriority w:val="99"/>
    <w:unhideWhenUsed/>
    <w:rsid w:val="00EC2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A6F"/>
    <w:rPr>
      <w:rFonts w:ascii="Consolas" w:eastAsia="Consolas" w:hAnsi="Consolas" w:cs="Consolas"/>
      <w:lang w:val="en-US"/>
    </w:rPr>
  </w:style>
  <w:style w:type="table" w:styleId="ab">
    <w:name w:val="Table Grid"/>
    <w:basedOn w:val="a1"/>
    <w:uiPriority w:val="39"/>
    <w:rsid w:val="00E4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ез интервала Знак Знак Знак Знак Знак Знак Знак"/>
    <w:qFormat/>
    <w:rsid w:val="0053715E"/>
    <w:pPr>
      <w:spacing w:after="0" w:line="240" w:lineRule="auto"/>
    </w:pPr>
    <w:rPr>
      <w:rFonts w:ascii="Times New Roman" w:eastAsia="Times New Roman" w:hAnsi="Times New Roman" w:cs="Times New Roman"/>
      <w:color w:val="000000"/>
      <w:sz w:val="24"/>
      <w:szCs w:val="24"/>
      <w:lang w:eastAsia="ru-RU"/>
    </w:rPr>
  </w:style>
  <w:style w:type="paragraph" w:styleId="ad">
    <w:name w:val="Body Text"/>
    <w:aliases w:val="Body Text Char,gl,Body3,paragraph 2,paragraph 21,L1 Body Text"/>
    <w:basedOn w:val="a"/>
    <w:link w:val="ae"/>
    <w:rsid w:val="00B76777"/>
    <w:pPr>
      <w:spacing w:after="120" w:line="240" w:lineRule="auto"/>
      <w:ind w:firstLine="720"/>
      <w:jc w:val="both"/>
    </w:pPr>
    <w:rPr>
      <w:rFonts w:ascii="Calibri" w:eastAsia="Times New Roman" w:hAnsi="Calibri" w:cs="Times New Roman"/>
      <w:lang w:val="x-none"/>
    </w:rPr>
  </w:style>
  <w:style w:type="character" w:customStyle="1" w:styleId="ae">
    <w:name w:val="Основной текст Знак"/>
    <w:aliases w:val="Body Text Char Знак,gl Знак,Body3 Знак,paragraph 2 Знак,paragraph 21 Знак,L1 Body Text Знак"/>
    <w:basedOn w:val="a0"/>
    <w:link w:val="ad"/>
    <w:rsid w:val="00B76777"/>
    <w:rPr>
      <w:rFonts w:ascii="Calibri" w:eastAsia="Times New Roman" w:hAnsi="Calibri" w:cs="Times New Roman"/>
      <w:lang w:val="x-none"/>
    </w:rPr>
  </w:style>
  <w:style w:type="paragraph" w:styleId="af">
    <w:name w:val="No Spacing"/>
    <w:aliases w:val="Обя,мелкий,No Spacing,норма,No Spacing1,мой рабочий,Айгерим,свой,Без интеБез интервала,Без интервала11"/>
    <w:link w:val="af0"/>
    <w:uiPriority w:val="1"/>
    <w:qFormat/>
    <w:rsid w:val="00DA6774"/>
    <w:pPr>
      <w:spacing w:after="0" w:line="240" w:lineRule="auto"/>
    </w:pPr>
    <w:rPr>
      <w:rFonts w:ascii="Calibri" w:eastAsia="Calibri" w:hAnsi="Calibri" w:cs="Times New Roman"/>
    </w:rPr>
  </w:style>
  <w:style w:type="character" w:styleId="af1">
    <w:name w:val="Strong"/>
    <w:basedOn w:val="a0"/>
    <w:uiPriority w:val="22"/>
    <w:qFormat/>
    <w:rsid w:val="002068BB"/>
    <w:rPr>
      <w:b/>
      <w:bCs/>
    </w:rPr>
  </w:style>
  <w:style w:type="paragraph" w:customStyle="1" w:styleId="Default">
    <w:name w:val="Default"/>
    <w:rsid w:val="00682D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BA3F1F"/>
    <w:rPr>
      <w:rFonts w:ascii="Consolas" w:eastAsia="Consolas" w:hAnsi="Consolas" w:cs="Consolas"/>
      <w:lang w:val="en-US"/>
    </w:rPr>
  </w:style>
  <w:style w:type="paragraph" w:styleId="af2">
    <w:name w:val="Balloon Text"/>
    <w:basedOn w:val="a"/>
    <w:link w:val="af3"/>
    <w:uiPriority w:val="99"/>
    <w:semiHidden/>
    <w:unhideWhenUsed/>
    <w:rsid w:val="0063226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3226E"/>
    <w:rPr>
      <w:rFonts w:ascii="Tahoma" w:eastAsia="Consolas" w:hAnsi="Tahoma" w:cs="Tahoma"/>
      <w:sz w:val="16"/>
      <w:szCs w:val="16"/>
      <w:lang w:val="en-US"/>
    </w:rPr>
  </w:style>
  <w:style w:type="paragraph" w:customStyle="1" w:styleId="1">
    <w:name w:val="Без интервала1"/>
    <w:link w:val="NoSpacingChar1"/>
    <w:rsid w:val="00002057"/>
    <w:pPr>
      <w:spacing w:after="0" w:line="240" w:lineRule="auto"/>
    </w:pPr>
    <w:rPr>
      <w:rFonts w:ascii="Calibri" w:eastAsia="Calibri" w:hAnsi="Calibri" w:cs="Calibri"/>
      <w:sz w:val="20"/>
      <w:szCs w:val="20"/>
      <w:lang w:eastAsia="ru-RU"/>
    </w:rPr>
  </w:style>
  <w:style w:type="character" w:customStyle="1" w:styleId="NoSpacingChar1">
    <w:name w:val="No Spacing Char1"/>
    <w:link w:val="1"/>
    <w:locked/>
    <w:rsid w:val="00002057"/>
    <w:rPr>
      <w:rFonts w:ascii="Calibri" w:eastAsia="Calibri" w:hAnsi="Calibri" w:cs="Calibri"/>
      <w:sz w:val="20"/>
      <w:szCs w:val="20"/>
      <w:lang w:eastAsia="ru-RU"/>
    </w:rPr>
  </w:style>
  <w:style w:type="paragraph" w:customStyle="1" w:styleId="2">
    <w:name w:val="Абзац списка2"/>
    <w:basedOn w:val="a"/>
    <w:qFormat/>
    <w:rsid w:val="00E51741"/>
    <w:pPr>
      <w:ind w:left="720"/>
    </w:pPr>
    <w:rPr>
      <w:rFonts w:ascii="Calibri" w:eastAsia="Times New Roman" w:hAnsi="Calibri" w:cs="Calibri"/>
      <w:lang w:val="ru-RU"/>
    </w:rPr>
  </w:style>
  <w:style w:type="paragraph" w:styleId="af4">
    <w:name w:val="Body Text Indent"/>
    <w:basedOn w:val="a"/>
    <w:link w:val="af5"/>
    <w:uiPriority w:val="99"/>
    <w:semiHidden/>
    <w:unhideWhenUsed/>
    <w:rsid w:val="00C669D9"/>
    <w:pPr>
      <w:spacing w:after="120"/>
      <w:ind w:left="283"/>
    </w:pPr>
  </w:style>
  <w:style w:type="character" w:customStyle="1" w:styleId="af5">
    <w:name w:val="Основной текст с отступом Знак"/>
    <w:basedOn w:val="a0"/>
    <w:link w:val="af4"/>
    <w:uiPriority w:val="99"/>
    <w:semiHidden/>
    <w:rsid w:val="00C669D9"/>
    <w:rPr>
      <w:rFonts w:ascii="Consolas" w:eastAsia="Consolas" w:hAnsi="Consolas" w:cs="Consolas"/>
      <w:lang w:val="en-US"/>
    </w:rPr>
  </w:style>
  <w:style w:type="paragraph" w:customStyle="1" w:styleId="af6">
    <w:name w:val="Без итервала"/>
    <w:basedOn w:val="af"/>
    <w:qFormat/>
    <w:rsid w:val="004E1254"/>
    <w:rPr>
      <w:rFonts w:ascii="Times New Roman" w:eastAsia="Consolas" w:hAnsi="Times New Roman"/>
      <w:sz w:val="28"/>
      <w:szCs w:val="28"/>
    </w:rPr>
  </w:style>
  <w:style w:type="character" w:customStyle="1" w:styleId="af0">
    <w:name w:val="Без интервала Знак"/>
    <w:aliases w:val="Обя Знак,мелкий Знак,No Spacing Знак,норма Знак,No Spacing1 Знак,мой рабочий Знак,Айгерим Знак,свой Знак,Без интеБез интервала Знак,Без интервала11 Знак"/>
    <w:link w:val="af"/>
    <w:uiPriority w:val="99"/>
    <w:locked/>
    <w:rsid w:val="00205E4C"/>
    <w:rPr>
      <w:rFonts w:ascii="Calibri" w:eastAsia="Calibri" w:hAnsi="Calibri" w:cs="Times New Roman"/>
    </w:rPr>
  </w:style>
  <w:style w:type="character" w:customStyle="1" w:styleId="tlid-translation">
    <w:name w:val="tlid-translation"/>
    <w:basedOn w:val="a0"/>
    <w:rsid w:val="001A7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666">
      <w:bodyDiv w:val="1"/>
      <w:marLeft w:val="0"/>
      <w:marRight w:val="0"/>
      <w:marTop w:val="0"/>
      <w:marBottom w:val="0"/>
      <w:divBdr>
        <w:top w:val="none" w:sz="0" w:space="0" w:color="auto"/>
        <w:left w:val="none" w:sz="0" w:space="0" w:color="auto"/>
        <w:bottom w:val="none" w:sz="0" w:space="0" w:color="auto"/>
        <w:right w:val="none" w:sz="0" w:space="0" w:color="auto"/>
      </w:divBdr>
    </w:div>
    <w:div w:id="194512455">
      <w:bodyDiv w:val="1"/>
      <w:marLeft w:val="0"/>
      <w:marRight w:val="0"/>
      <w:marTop w:val="0"/>
      <w:marBottom w:val="0"/>
      <w:divBdr>
        <w:top w:val="none" w:sz="0" w:space="0" w:color="auto"/>
        <w:left w:val="none" w:sz="0" w:space="0" w:color="auto"/>
        <w:bottom w:val="none" w:sz="0" w:space="0" w:color="auto"/>
        <w:right w:val="none" w:sz="0" w:space="0" w:color="auto"/>
      </w:divBdr>
    </w:div>
    <w:div w:id="447705406">
      <w:bodyDiv w:val="1"/>
      <w:marLeft w:val="0"/>
      <w:marRight w:val="0"/>
      <w:marTop w:val="0"/>
      <w:marBottom w:val="0"/>
      <w:divBdr>
        <w:top w:val="none" w:sz="0" w:space="0" w:color="auto"/>
        <w:left w:val="none" w:sz="0" w:space="0" w:color="auto"/>
        <w:bottom w:val="none" w:sz="0" w:space="0" w:color="auto"/>
        <w:right w:val="none" w:sz="0" w:space="0" w:color="auto"/>
      </w:divBdr>
    </w:div>
    <w:div w:id="1217744876">
      <w:bodyDiv w:val="1"/>
      <w:marLeft w:val="0"/>
      <w:marRight w:val="0"/>
      <w:marTop w:val="0"/>
      <w:marBottom w:val="0"/>
      <w:divBdr>
        <w:top w:val="none" w:sz="0" w:space="0" w:color="auto"/>
        <w:left w:val="none" w:sz="0" w:space="0" w:color="auto"/>
        <w:bottom w:val="none" w:sz="0" w:space="0" w:color="auto"/>
        <w:right w:val="none" w:sz="0" w:space="0" w:color="auto"/>
      </w:divBdr>
    </w:div>
    <w:div w:id="1286696194">
      <w:bodyDiv w:val="1"/>
      <w:marLeft w:val="0"/>
      <w:marRight w:val="0"/>
      <w:marTop w:val="0"/>
      <w:marBottom w:val="0"/>
      <w:divBdr>
        <w:top w:val="none" w:sz="0" w:space="0" w:color="auto"/>
        <w:left w:val="none" w:sz="0" w:space="0" w:color="auto"/>
        <w:bottom w:val="none" w:sz="0" w:space="0" w:color="auto"/>
        <w:right w:val="none" w:sz="0" w:space="0" w:color="auto"/>
      </w:divBdr>
    </w:div>
    <w:div w:id="1760827921">
      <w:bodyDiv w:val="1"/>
      <w:marLeft w:val="0"/>
      <w:marRight w:val="0"/>
      <w:marTop w:val="0"/>
      <w:marBottom w:val="0"/>
      <w:divBdr>
        <w:top w:val="none" w:sz="0" w:space="0" w:color="auto"/>
        <w:left w:val="none" w:sz="0" w:space="0" w:color="auto"/>
        <w:bottom w:val="none" w:sz="0" w:space="0" w:color="auto"/>
        <w:right w:val="none" w:sz="0" w:space="0" w:color="auto"/>
      </w:divBdr>
    </w:div>
    <w:div w:id="18625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74C5E-D155-40DB-8BD5-0A6639AE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Узакбаева</dc:creator>
  <cp:lastModifiedBy>Кумекова Арайлым Аскаровна</cp:lastModifiedBy>
  <cp:revision>14</cp:revision>
  <cp:lastPrinted>2018-02-01T05:32:00Z</cp:lastPrinted>
  <dcterms:created xsi:type="dcterms:W3CDTF">2019-02-05T11:23:00Z</dcterms:created>
  <dcterms:modified xsi:type="dcterms:W3CDTF">2019-02-13T12:27:00Z</dcterms:modified>
</cp:coreProperties>
</file>