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81160" w:rsidRPr="00170343" w:rsidTr="002811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70343" w:rsidRPr="00170343" w:rsidRDefault="00170343" w:rsidP="00170343">
            <w:pPr>
              <w:tabs>
                <w:tab w:val="left" w:pos="40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034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70343">
              <w:rPr>
                <w:rFonts w:ascii="Times New Roman" w:hAnsi="Times New Roman" w:cs="Times New Roman"/>
                <w:sz w:val="24"/>
                <w:szCs w:val="24"/>
              </w:rPr>
              <w:t>В Казахстане туберкулез не представляет угрозу для развития бизнеса!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160" w:rsidRPr="00170343" w:rsidRDefault="00281160" w:rsidP="00F666EF">
            <w:pPr>
              <w:tabs>
                <w:tab w:val="left" w:pos="40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0" w:rsidRPr="00170343" w:rsidRDefault="00281160" w:rsidP="00F666EF">
            <w:pPr>
              <w:tabs>
                <w:tab w:val="left" w:pos="40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E2F" w:rsidRDefault="00F666EF" w:rsidP="00F666EF">
      <w:pPr>
        <w:tabs>
          <w:tab w:val="left" w:pos="408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ПАМЯТКА</w:t>
      </w:r>
    </w:p>
    <w:p w:rsidR="00170343" w:rsidRPr="00170343" w:rsidRDefault="00170343" w:rsidP="00F666EF">
      <w:pPr>
        <w:tabs>
          <w:tab w:val="left" w:pos="408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EB6" w:rsidRDefault="00F666EF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последние 10 лет показатель заболеваемости туберкулезом в Казахстане снизился в 2,5 раза, смертности – в 6 раз.</w:t>
      </w:r>
    </w:p>
    <w:p w:rsidR="00010585" w:rsidRDefault="00010585" w:rsidP="0001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Позитивная тенденция отмечается и по итогам 2016 года: показатель заболеваемости туберкулезом по сравнению с 2015 годом снизился на 6 % и составил 52,7 на 100 тыс. населения против 58,5; показатель смертности составил 3,4 против 4,1 на 100 тыс. населения</w:t>
      </w:r>
      <w:r w:rsidR="00550024">
        <w:rPr>
          <w:rFonts w:ascii="Times New Roman" w:hAnsi="Times New Roman" w:cs="Times New Roman"/>
          <w:sz w:val="24"/>
          <w:szCs w:val="24"/>
        </w:rPr>
        <w:t xml:space="preserve"> (Рис.1)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FFE" w:rsidRDefault="002A1FFE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FFE" w:rsidRPr="002A1FFE" w:rsidRDefault="00550024" w:rsidP="002A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Рис.1. </w:t>
      </w:r>
      <w:r w:rsidR="002A1FFE" w:rsidRPr="002A1FFE">
        <w:rPr>
          <w:rFonts w:ascii="Times New Roman" w:hAnsi="Times New Roman" w:cs="Times New Roman"/>
          <w:b/>
          <w:sz w:val="24"/>
          <w:szCs w:val="24"/>
        </w:rPr>
        <w:t>Заболеваемость и смертность от ТБ в РК, 2006-2016г.</w:t>
      </w:r>
    </w:p>
    <w:p w:rsidR="002A1FFE" w:rsidRPr="00764E98" w:rsidRDefault="00633930" w:rsidP="002A1FFE">
      <w:pPr>
        <w:spacing w:after="0"/>
        <w:jc w:val="center"/>
        <w:rPr>
          <w:rFonts w:ascii="MS UI Gothic" w:eastAsia="MS UI Gothic" w:hAnsi="MS UI Gothic" w:cs="Times New Roman"/>
          <w:b/>
          <w:sz w:val="24"/>
          <w:szCs w:val="24"/>
        </w:rPr>
      </w:pPr>
      <w:r w:rsidRPr="00633930">
        <w:rPr>
          <w:rFonts w:ascii="MS UI Gothic" w:eastAsia="MS UI Gothic" w:hAnsi="MS UI Gothic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22874" cy="3483864"/>
            <wp:effectExtent l="0" t="0" r="1117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1FFE" w:rsidRDefault="002A1FFE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DD5" w:rsidRDefault="00F666EF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осмотрам, более 70% больных туберкулезом выявляются на ранней стадии заболевания. В нашей стране внедрены все виды инновационных методов диагностики и лечения туберкулеза. Казахстан относится к числу немногих стран, который обеспечил бесплатный доступ к адекватному лечению больных туберкулезом с множественной лекарственной устойчивостью: в 99,6% случаев при стандарте Всемирной организации здравоохранения (далее - ВОЗ) – 85%.</w:t>
      </w:r>
      <w:r w:rsidR="00793DD5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793DD5" w:rsidRDefault="00793DD5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DD5" w:rsidRDefault="00793DD5" w:rsidP="00793D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2. </w:t>
      </w:r>
      <w:r w:rsidR="002D33B2">
        <w:rPr>
          <w:rFonts w:ascii="Times New Roman" w:hAnsi="Times New Roman" w:cs="Times New Roman"/>
          <w:b/>
          <w:sz w:val="24"/>
          <w:szCs w:val="24"/>
        </w:rPr>
        <w:t>Охват лечением больных МЛУ ТБ</w:t>
      </w:r>
    </w:p>
    <w:p w:rsidR="00AE4BCF" w:rsidRPr="00550024" w:rsidRDefault="00AE4BCF" w:rsidP="00793D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D5" w:rsidRDefault="006A1CF3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F34A82" w:rsidRPr="00F34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288" cy="1801091"/>
            <wp:effectExtent l="0" t="38100" r="27940" b="4699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666EF" w:rsidRDefault="00F666EF" w:rsidP="00234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ежегодным отчетом ВОЗ эффективность лечения данной категории больных в нашей стране самая высокая в мире и состав</w:t>
      </w:r>
      <w:r w:rsidR="00234E7B">
        <w:rPr>
          <w:rFonts w:ascii="Times New Roman" w:hAnsi="Times New Roman" w:cs="Times New Roman"/>
          <w:sz w:val="24"/>
          <w:szCs w:val="24"/>
        </w:rPr>
        <w:t>ил по итогам 2016г.74,8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793DD5">
        <w:rPr>
          <w:rFonts w:ascii="Times New Roman" w:hAnsi="Times New Roman" w:cs="Times New Roman"/>
          <w:sz w:val="24"/>
          <w:szCs w:val="24"/>
        </w:rPr>
        <w:t>(Рис.3)</w:t>
      </w:r>
    </w:p>
    <w:p w:rsidR="00550024" w:rsidRPr="00550024" w:rsidRDefault="00550024" w:rsidP="005500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793D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0024">
        <w:rPr>
          <w:rFonts w:ascii="Times New Roman" w:hAnsi="Times New Roman" w:cs="Times New Roman"/>
          <w:b/>
          <w:sz w:val="24"/>
          <w:szCs w:val="24"/>
        </w:rPr>
        <w:t>Эффективность лечения больных ТБ</w:t>
      </w:r>
    </w:p>
    <w:p w:rsidR="004B1377" w:rsidRDefault="004B1377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77" w:rsidRDefault="00234E7B" w:rsidP="00F6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E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9528" cy="1937879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6EF" w:rsidRDefault="00F666EF" w:rsidP="00B42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миссия ВОЗ, состоявшаяся в ноябре 2015 года, положительно оценила работу Национальной противотуберкулезной программы по всем аспектам (оценочная миссия ВОЗ проводится 1 раз в 5 лет).</w:t>
      </w:r>
    </w:p>
    <w:p w:rsidR="008A0521" w:rsidRDefault="00F666EF" w:rsidP="00F66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6EF">
        <w:rPr>
          <w:rFonts w:ascii="Times New Roman" w:hAnsi="Times New Roman" w:cs="Times New Roman"/>
          <w:sz w:val="24"/>
          <w:szCs w:val="24"/>
        </w:rPr>
        <w:t>К</w:t>
      </w:r>
      <w:r w:rsidR="008A0521">
        <w:rPr>
          <w:rFonts w:ascii="Times New Roman" w:hAnsi="Times New Roman" w:cs="Times New Roman"/>
          <w:sz w:val="24"/>
          <w:szCs w:val="24"/>
        </w:rPr>
        <w:t>онтроль над туберкулезом в Казахстане является приоритетным направлением и осуществляется в рамках Государственной программы развития здравоохранения «</w:t>
      </w:r>
      <w:proofErr w:type="spellStart"/>
      <w:r w:rsidR="008A0521">
        <w:rPr>
          <w:rFonts w:ascii="Times New Roman" w:hAnsi="Times New Roman" w:cs="Times New Roman"/>
          <w:sz w:val="24"/>
          <w:szCs w:val="24"/>
        </w:rPr>
        <w:t>Денсаулык</w:t>
      </w:r>
      <w:proofErr w:type="spellEnd"/>
      <w:r w:rsidR="008A0521">
        <w:rPr>
          <w:rFonts w:ascii="Times New Roman" w:hAnsi="Times New Roman" w:cs="Times New Roman"/>
          <w:sz w:val="24"/>
          <w:szCs w:val="24"/>
        </w:rPr>
        <w:t>» на 2016 – 2020 годы.</w:t>
      </w:r>
    </w:p>
    <w:p w:rsidR="00F666EF" w:rsidRPr="00F666EF" w:rsidRDefault="008A0521" w:rsidP="00F66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Туберкулез в Казахстане излечим! Инновационные ускоренные методы диагностики туберкулеза и его лечение, основанные на международных стандартах, доступны каждому гражданину на бесплатной основе!</w:t>
      </w:r>
    </w:p>
    <w:p w:rsidR="005419E0" w:rsidRDefault="00F666EF" w:rsidP="00F66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F">
        <w:rPr>
          <w:rFonts w:ascii="Times New Roman" w:hAnsi="Times New Roman" w:cs="Times New Roman"/>
          <w:b/>
          <w:sz w:val="24"/>
          <w:szCs w:val="24"/>
        </w:rPr>
        <w:tab/>
      </w:r>
    </w:p>
    <w:p w:rsidR="005419E0" w:rsidRDefault="005419E0" w:rsidP="00F66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0A61">
        <w:rPr>
          <w:rFonts w:ascii="Times New Roman" w:hAnsi="Times New Roman" w:cs="Times New Roman"/>
          <w:b/>
          <w:sz w:val="24"/>
          <w:szCs w:val="24"/>
        </w:rPr>
        <w:t xml:space="preserve"> мнению международных экспертов:</w:t>
      </w:r>
    </w:p>
    <w:p w:rsidR="00F666EF" w:rsidRDefault="00F666EF" w:rsidP="00F666EF">
      <w:pPr>
        <w:spacing w:after="0"/>
        <w:jc w:val="both"/>
        <w:rPr>
          <w:rFonts w:ascii="Impact" w:eastAsia="MS UI Gothic" w:hAnsi="Impact" w:cs="Times New Roman"/>
          <w:i/>
          <w:sz w:val="28"/>
          <w:szCs w:val="28"/>
        </w:rPr>
      </w:pPr>
      <w:r w:rsidRPr="004B0A61">
        <w:rPr>
          <w:rFonts w:ascii="Impact" w:eastAsia="MS UI Gothic" w:hAnsi="Impact" w:cs="Times New Roman"/>
          <w:i/>
          <w:sz w:val="28"/>
          <w:szCs w:val="28"/>
        </w:rPr>
        <w:t xml:space="preserve">В Казахстане Туберкулез не представляет </w:t>
      </w:r>
      <w:r w:rsidR="00764E98" w:rsidRPr="004B0A61">
        <w:rPr>
          <w:rFonts w:ascii="Impact" w:eastAsia="MS UI Gothic" w:hAnsi="Impact" w:cs="Times New Roman"/>
          <w:i/>
          <w:sz w:val="28"/>
          <w:szCs w:val="28"/>
        </w:rPr>
        <w:t xml:space="preserve"> </w:t>
      </w:r>
      <w:r w:rsidRPr="004B0A61">
        <w:rPr>
          <w:rFonts w:ascii="Impact" w:eastAsia="MS UI Gothic" w:hAnsi="Impact" w:cs="Times New Roman"/>
          <w:i/>
          <w:sz w:val="28"/>
          <w:szCs w:val="28"/>
        </w:rPr>
        <w:t xml:space="preserve">угрозу </w:t>
      </w:r>
      <w:r w:rsidR="00764E98" w:rsidRPr="004B0A61">
        <w:rPr>
          <w:rFonts w:ascii="Impact" w:eastAsia="MS UI Gothic" w:hAnsi="Impact" w:cs="Times New Roman"/>
          <w:i/>
          <w:sz w:val="28"/>
          <w:szCs w:val="28"/>
        </w:rPr>
        <w:t xml:space="preserve"> </w:t>
      </w:r>
      <w:r w:rsidRPr="004B0A61">
        <w:rPr>
          <w:rFonts w:ascii="Impact" w:eastAsia="MS UI Gothic" w:hAnsi="Impact" w:cs="Times New Roman"/>
          <w:i/>
          <w:sz w:val="28"/>
          <w:szCs w:val="28"/>
        </w:rPr>
        <w:t xml:space="preserve">для </w:t>
      </w:r>
      <w:r w:rsidR="00764E98" w:rsidRPr="004B0A61">
        <w:rPr>
          <w:rFonts w:ascii="Impact" w:eastAsia="MS UI Gothic" w:hAnsi="Impact" w:cs="Times New Roman"/>
          <w:i/>
          <w:sz w:val="28"/>
          <w:szCs w:val="28"/>
        </w:rPr>
        <w:t xml:space="preserve"> </w:t>
      </w:r>
      <w:r w:rsidRPr="004B0A61">
        <w:rPr>
          <w:rFonts w:ascii="Impact" w:eastAsia="MS UI Gothic" w:hAnsi="Impact" w:cs="Times New Roman"/>
          <w:i/>
          <w:sz w:val="28"/>
          <w:szCs w:val="28"/>
        </w:rPr>
        <w:t xml:space="preserve">развития </w:t>
      </w:r>
      <w:r w:rsidR="00764E98" w:rsidRPr="004B0A61">
        <w:rPr>
          <w:rFonts w:ascii="Impact" w:eastAsia="MS UI Gothic" w:hAnsi="Impact" w:cs="Times New Roman"/>
          <w:i/>
          <w:sz w:val="28"/>
          <w:szCs w:val="28"/>
        </w:rPr>
        <w:t xml:space="preserve"> </w:t>
      </w:r>
      <w:r w:rsidRPr="004B0A61">
        <w:rPr>
          <w:rFonts w:ascii="Impact" w:eastAsia="MS UI Gothic" w:hAnsi="Impact" w:cs="Times New Roman"/>
          <w:i/>
          <w:sz w:val="28"/>
          <w:szCs w:val="28"/>
        </w:rPr>
        <w:t>бизнеса!</w:t>
      </w:r>
    </w:p>
    <w:p w:rsidR="003D668C" w:rsidRPr="004B0A61" w:rsidRDefault="003D668C" w:rsidP="00F666EF">
      <w:pPr>
        <w:spacing w:after="0"/>
        <w:jc w:val="both"/>
        <w:rPr>
          <w:rFonts w:ascii="Impact" w:eastAsia="MS UI Gothic" w:hAnsi="Impact" w:cs="Times New Roman"/>
          <w:i/>
          <w:sz w:val="28"/>
          <w:szCs w:val="28"/>
        </w:rPr>
      </w:pPr>
    </w:p>
    <w:p w:rsidR="009B25D8" w:rsidRPr="00382381" w:rsidRDefault="00743094" w:rsidP="0038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UI Gothic" w:eastAsia="MS UI Gothic" w:hAnsi="MS UI Gothic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2BD4A14" wp14:editId="32CF8FB9">
            <wp:extent cx="5930194" cy="323991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4" cy="323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5D8" w:rsidRPr="00382381" w:rsidSect="00E260B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12" w:rsidRDefault="00623612" w:rsidP="009B25D8">
      <w:pPr>
        <w:spacing w:after="0" w:line="240" w:lineRule="auto"/>
      </w:pPr>
      <w:r>
        <w:separator/>
      </w:r>
    </w:p>
  </w:endnote>
  <w:endnote w:type="continuationSeparator" w:id="0">
    <w:p w:rsidR="00623612" w:rsidRDefault="00623612" w:rsidP="009B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12" w:rsidRDefault="00623612" w:rsidP="009B25D8">
      <w:pPr>
        <w:spacing w:after="0" w:line="240" w:lineRule="auto"/>
      </w:pPr>
      <w:r>
        <w:separator/>
      </w:r>
    </w:p>
  </w:footnote>
  <w:footnote w:type="continuationSeparator" w:id="0">
    <w:p w:rsidR="00623612" w:rsidRDefault="00623612" w:rsidP="009B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60" w:rsidRDefault="00281160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81160" w:rsidRPr="00281160" w:rsidRDefault="0028116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27.09.2017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02"/>
    <w:rsid w:val="00010585"/>
    <w:rsid w:val="00012BD9"/>
    <w:rsid w:val="00036176"/>
    <w:rsid w:val="000453D3"/>
    <w:rsid w:val="000B449E"/>
    <w:rsid w:val="00170343"/>
    <w:rsid w:val="00194726"/>
    <w:rsid w:val="001D3AD9"/>
    <w:rsid w:val="001E2424"/>
    <w:rsid w:val="00234E7B"/>
    <w:rsid w:val="0025183E"/>
    <w:rsid w:val="0025248B"/>
    <w:rsid w:val="00281160"/>
    <w:rsid w:val="00290576"/>
    <w:rsid w:val="00297653"/>
    <w:rsid w:val="002A14BD"/>
    <w:rsid w:val="002A1FFE"/>
    <w:rsid w:val="002A3EB6"/>
    <w:rsid w:val="002D33B2"/>
    <w:rsid w:val="00337957"/>
    <w:rsid w:val="00364EB4"/>
    <w:rsid w:val="00382381"/>
    <w:rsid w:val="00382CD4"/>
    <w:rsid w:val="003D668C"/>
    <w:rsid w:val="004B0A61"/>
    <w:rsid w:val="004B1377"/>
    <w:rsid w:val="004B1E61"/>
    <w:rsid w:val="005419E0"/>
    <w:rsid w:val="00550024"/>
    <w:rsid w:val="00577BB0"/>
    <w:rsid w:val="005D58C1"/>
    <w:rsid w:val="00623612"/>
    <w:rsid w:val="00633930"/>
    <w:rsid w:val="00635440"/>
    <w:rsid w:val="006A1CF3"/>
    <w:rsid w:val="006D02CC"/>
    <w:rsid w:val="006E319D"/>
    <w:rsid w:val="00743094"/>
    <w:rsid w:val="0076444C"/>
    <w:rsid w:val="00764E98"/>
    <w:rsid w:val="00793DD5"/>
    <w:rsid w:val="007B15E0"/>
    <w:rsid w:val="007C179C"/>
    <w:rsid w:val="007F50B3"/>
    <w:rsid w:val="00887E96"/>
    <w:rsid w:val="008A0521"/>
    <w:rsid w:val="008F56FF"/>
    <w:rsid w:val="009B25D8"/>
    <w:rsid w:val="00AC49B4"/>
    <w:rsid w:val="00AE4BCF"/>
    <w:rsid w:val="00B34360"/>
    <w:rsid w:val="00B42050"/>
    <w:rsid w:val="00C43543"/>
    <w:rsid w:val="00C93502"/>
    <w:rsid w:val="00CB6E2F"/>
    <w:rsid w:val="00D41601"/>
    <w:rsid w:val="00DA60C6"/>
    <w:rsid w:val="00DE5BE5"/>
    <w:rsid w:val="00E260B4"/>
    <w:rsid w:val="00ED72C3"/>
    <w:rsid w:val="00F34A82"/>
    <w:rsid w:val="00F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5D8"/>
  </w:style>
  <w:style w:type="paragraph" w:styleId="a5">
    <w:name w:val="footer"/>
    <w:basedOn w:val="a"/>
    <w:link w:val="a6"/>
    <w:uiPriority w:val="99"/>
    <w:unhideWhenUsed/>
    <w:rsid w:val="009B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5D8"/>
  </w:style>
  <w:style w:type="paragraph" w:styleId="a7">
    <w:name w:val="Balloon Text"/>
    <w:basedOn w:val="a"/>
    <w:link w:val="a8"/>
    <w:uiPriority w:val="99"/>
    <w:semiHidden/>
    <w:unhideWhenUsed/>
    <w:rsid w:val="0076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Google%20&#1044;&#1080;&#1089;&#1082;\&#1055;&#1072;&#1085;&#1072;&#1075;&#1091;&#1083;&#1100;%20&#1052;\2017\&#1057;&#1090;&#1072;&#1090;&#1076;&#1072;&#1085;&#1085;&#1099;&#1077;_2015-17_&#1056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007745305424139E-2"/>
          <c:y val="5.4965357417230812E-2"/>
          <c:w val="0.98847735353668442"/>
          <c:h val="0.702771919560944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1.5532543474086597E-2"/>
                  <c:y val="7.062741169339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189347820123786E-3"/>
                  <c:y val="-4.0358747957235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540359145189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5313904462581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5493278441199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5.0448434946544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189347820123786E-3"/>
                  <c:y val="-6.0538121935853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568043460371092E-3"/>
                  <c:y val="-4.0358747957235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540359145189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126.4</c:v>
                </c:pt>
                <c:pt idx="1">
                  <c:v>125.5</c:v>
                </c:pt>
                <c:pt idx="2">
                  <c:v>105.3</c:v>
                </c:pt>
                <c:pt idx="3">
                  <c:v>95.5</c:v>
                </c:pt>
                <c:pt idx="4">
                  <c:v>86.6</c:v>
                </c:pt>
                <c:pt idx="5">
                  <c:v>81.7</c:v>
                </c:pt>
                <c:pt idx="6">
                  <c:v>73.400000000000006</c:v>
                </c:pt>
                <c:pt idx="7">
                  <c:v>66.400000000000006</c:v>
                </c:pt>
                <c:pt idx="8">
                  <c:v>58.5</c:v>
                </c:pt>
                <c:pt idx="9">
                  <c:v>52.7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2.3644117614611674E-3"/>
                  <c:y val="3.09044942667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706141749397746E-3"/>
                  <c:y val="-4.696073999512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00439646109629E-2"/>
                  <c:y val="-8.1842853522373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048582720648292E-3"/>
                  <c:y val="-2.4105998757258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686131500365115E-3"/>
                  <c:y val="-5.563985696478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568043460371092E-3"/>
                  <c:y val="-6.202059090609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8489955476287379E-5"/>
                  <c:y val="-6.995291214583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45504234410894E-2"/>
                  <c:y val="-5.5332814369332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536478676298823E-3"/>
                  <c:y val="-3.3456845932068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321399045295986E-3"/>
                  <c:y val="1.9752426718647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9894625432142185E-3"/>
                  <c:y val="2.3895581951497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18.100000000000001</c:v>
                </c:pt>
                <c:pt idx="1">
                  <c:v>16.899999999999999</c:v>
                </c:pt>
                <c:pt idx="2">
                  <c:v>12.9</c:v>
                </c:pt>
                <c:pt idx="3">
                  <c:v>10.6</c:v>
                </c:pt>
                <c:pt idx="4">
                  <c:v>8.4</c:v>
                </c:pt>
                <c:pt idx="5">
                  <c:v>7.4</c:v>
                </c:pt>
                <c:pt idx="6">
                  <c:v>5.6</c:v>
                </c:pt>
                <c:pt idx="7">
                  <c:v>4.9000000000000004</c:v>
                </c:pt>
                <c:pt idx="8">
                  <c:v>4.0999999999999996</c:v>
                </c:pt>
                <c:pt idx="9">
                  <c:v>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676032"/>
        <c:axId val="232849408"/>
      </c:lineChart>
      <c:catAx>
        <c:axId val="1536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232849408"/>
        <c:crosses val="autoZero"/>
        <c:auto val="1"/>
        <c:lblAlgn val="ctr"/>
        <c:lblOffset val="100"/>
        <c:noMultiLvlLbl val="0"/>
      </c:catAx>
      <c:valAx>
        <c:axId val="232849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6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735025883000644"/>
          <c:y val="0.89162663686304522"/>
          <c:w val="0.46829273235959951"/>
          <c:h val="9.814286202313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Эффективность лечения НС МБТ+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87.6</c:v>
                </c:pt>
                <c:pt idx="1">
                  <c:v>86.9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Эффективность лечения  МЛУ ТБ (%)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Лист1!$C$6:$D$6</c:f>
              <c:numCache>
                <c:formatCode>General</c:formatCode>
                <c:ptCount val="2"/>
                <c:pt idx="0">
                  <c:v>71.3</c:v>
                </c:pt>
                <c:pt idx="1">
                  <c:v>74.8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3093376"/>
        <c:axId val="233099264"/>
      </c:barChart>
      <c:catAx>
        <c:axId val="23309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ru-RU"/>
          </a:p>
        </c:txPr>
        <c:crossAx val="233099264"/>
        <c:crosses val="autoZero"/>
        <c:auto val="1"/>
        <c:lblAlgn val="ctr"/>
        <c:lblOffset val="100"/>
        <c:noMultiLvlLbl val="0"/>
      </c:catAx>
      <c:valAx>
        <c:axId val="233099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093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DCDFEB-77E3-486D-863F-CEE6C130A1D1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6117A6-2C7C-425A-81AE-A4853785F559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3200"/>
            <a:t>РК</a:t>
          </a:r>
        </a:p>
      </dgm:t>
    </dgm:pt>
    <dgm:pt modelId="{CFEC3A11-D905-4F4C-B102-138A7E10455E}" type="parTrans" cxnId="{2DD2E7B7-A3BE-494A-B169-8ADDE635548B}">
      <dgm:prSet/>
      <dgm:spPr/>
      <dgm:t>
        <a:bodyPr/>
        <a:lstStyle/>
        <a:p>
          <a:pPr algn="ctr"/>
          <a:endParaRPr lang="ru-RU"/>
        </a:p>
      </dgm:t>
    </dgm:pt>
    <dgm:pt modelId="{10F98C20-AAFD-4AA2-8206-247621661F1D}" type="sibTrans" cxnId="{2DD2E7B7-A3BE-494A-B169-8ADDE635548B}">
      <dgm:prSet/>
      <dgm:spPr/>
      <dgm:t>
        <a:bodyPr/>
        <a:lstStyle/>
        <a:p>
          <a:pPr algn="ctr"/>
          <a:endParaRPr lang="ru-RU"/>
        </a:p>
      </dgm:t>
    </dgm:pt>
    <dgm:pt modelId="{9D8189C4-8ECD-4F34-8066-67C5FB10EB5D}">
      <dgm:prSet phldrT="[Текст]" custT="1"/>
      <dgm:spPr/>
      <dgm:t>
        <a:bodyPr/>
        <a:lstStyle/>
        <a:p>
          <a:pPr algn="ctr"/>
          <a:r>
            <a:rPr lang="ru-RU" sz="3200">
              <a:solidFill>
                <a:srgbClr val="C00000"/>
              </a:solidFill>
            </a:rPr>
            <a:t>99,6%</a:t>
          </a:r>
          <a:endParaRPr lang="ru-RU" sz="3200"/>
        </a:p>
      </dgm:t>
    </dgm:pt>
    <dgm:pt modelId="{6667D894-00B1-4C05-A1A6-DB5AAEF98108}" type="parTrans" cxnId="{19A15407-D9CE-402C-A374-836B1F715D4B}">
      <dgm:prSet/>
      <dgm:spPr/>
      <dgm:t>
        <a:bodyPr/>
        <a:lstStyle/>
        <a:p>
          <a:pPr algn="ctr"/>
          <a:endParaRPr lang="ru-RU"/>
        </a:p>
      </dgm:t>
    </dgm:pt>
    <dgm:pt modelId="{D0B83A30-4A2F-40D6-8042-FC68B7241123}" type="sibTrans" cxnId="{19A15407-D9CE-402C-A374-836B1F715D4B}">
      <dgm:prSet/>
      <dgm:spPr/>
      <dgm:t>
        <a:bodyPr/>
        <a:lstStyle/>
        <a:p>
          <a:pPr algn="ctr"/>
          <a:endParaRPr lang="ru-RU"/>
        </a:p>
      </dgm:t>
    </dgm:pt>
    <dgm:pt modelId="{154DFE35-98F5-465F-BB74-41DB599308EA}">
      <dgm:prSet phldrT="[Текст]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ru-RU"/>
            <a:t>стандарт ВОЗ</a:t>
          </a:r>
        </a:p>
      </dgm:t>
    </dgm:pt>
    <dgm:pt modelId="{34BFAB63-D3B9-4BB0-8F4C-BFC7AD42EE14}" type="parTrans" cxnId="{5F862253-599E-4AB6-8C41-2BE16ECFB240}">
      <dgm:prSet/>
      <dgm:spPr/>
      <dgm:t>
        <a:bodyPr/>
        <a:lstStyle/>
        <a:p>
          <a:pPr algn="ctr"/>
          <a:endParaRPr lang="ru-RU"/>
        </a:p>
      </dgm:t>
    </dgm:pt>
    <dgm:pt modelId="{894E33A8-788D-438C-ADAE-B397123FBA57}" type="sibTrans" cxnId="{5F862253-599E-4AB6-8C41-2BE16ECFB240}">
      <dgm:prSet/>
      <dgm:spPr/>
      <dgm:t>
        <a:bodyPr/>
        <a:lstStyle/>
        <a:p>
          <a:pPr algn="ctr"/>
          <a:endParaRPr lang="ru-RU"/>
        </a:p>
      </dgm:t>
    </dgm:pt>
    <dgm:pt modelId="{35FFEAB9-AF91-4C62-991F-A4FB513E8CD6}">
      <dgm:prSet phldrT="[Текст]" custT="1"/>
      <dgm:spPr/>
      <dgm:t>
        <a:bodyPr/>
        <a:lstStyle/>
        <a:p>
          <a:pPr algn="ctr"/>
          <a:r>
            <a:rPr lang="ru-RU" sz="3200">
              <a:solidFill>
                <a:sysClr val="windowText" lastClr="000000"/>
              </a:solidFill>
            </a:rPr>
            <a:t>85%</a:t>
          </a:r>
        </a:p>
      </dgm:t>
    </dgm:pt>
    <dgm:pt modelId="{CC23190A-18C2-43E6-A3D4-2CF3758FDCBD}" type="parTrans" cxnId="{8780D03D-4879-4757-A8BB-AB3B683B692B}">
      <dgm:prSet/>
      <dgm:spPr/>
      <dgm:t>
        <a:bodyPr/>
        <a:lstStyle/>
        <a:p>
          <a:pPr algn="ctr"/>
          <a:endParaRPr lang="ru-RU"/>
        </a:p>
      </dgm:t>
    </dgm:pt>
    <dgm:pt modelId="{AA22C961-3F5F-4FD4-B7F3-57CD2CC315E9}" type="sibTrans" cxnId="{8780D03D-4879-4757-A8BB-AB3B683B692B}">
      <dgm:prSet/>
      <dgm:spPr/>
      <dgm:t>
        <a:bodyPr/>
        <a:lstStyle/>
        <a:p>
          <a:pPr algn="ctr"/>
          <a:endParaRPr lang="ru-RU"/>
        </a:p>
      </dgm:t>
    </dgm:pt>
    <dgm:pt modelId="{A2E3514C-765D-4D03-9880-995818AFF4FC}" type="pres">
      <dgm:prSet presAssocID="{FEDCDFEB-77E3-486D-863F-CEE6C130A1D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5CAD6D-5547-46B8-B433-287922AA96E4}" type="pres">
      <dgm:prSet presAssocID="{AA6117A6-2C7C-425A-81AE-A4853785F559}" presName="linNode" presStyleCnt="0"/>
      <dgm:spPr/>
    </dgm:pt>
    <dgm:pt modelId="{8B924068-8B70-4CAC-9D21-BAC6C43689CF}" type="pres">
      <dgm:prSet presAssocID="{AA6117A6-2C7C-425A-81AE-A4853785F55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21D2CA-2B2B-40CA-B11F-9A6A62559664}" type="pres">
      <dgm:prSet presAssocID="{AA6117A6-2C7C-425A-81AE-A4853785F55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537EDE-6395-4C18-9AD0-B32E25B3B076}" type="pres">
      <dgm:prSet presAssocID="{10F98C20-AAFD-4AA2-8206-247621661F1D}" presName="spacing" presStyleCnt="0"/>
      <dgm:spPr/>
    </dgm:pt>
    <dgm:pt modelId="{13BA2B3B-4E4F-4672-BF92-53D3FBC41342}" type="pres">
      <dgm:prSet presAssocID="{154DFE35-98F5-465F-BB74-41DB599308EA}" presName="linNode" presStyleCnt="0"/>
      <dgm:spPr/>
    </dgm:pt>
    <dgm:pt modelId="{22D781D8-E1E5-4C6A-9296-C3F0FA0F4CFE}" type="pres">
      <dgm:prSet presAssocID="{154DFE35-98F5-465F-BB74-41DB599308EA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4249A-2470-4935-9014-0E15951F6FC5}" type="pres">
      <dgm:prSet presAssocID="{154DFE35-98F5-465F-BB74-41DB599308EA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8E1B6E-1886-4707-A6B1-EC42A602B803}" type="presOf" srcId="{FEDCDFEB-77E3-486D-863F-CEE6C130A1D1}" destId="{A2E3514C-765D-4D03-9880-995818AFF4FC}" srcOrd="0" destOrd="0" presId="urn:microsoft.com/office/officeart/2005/8/layout/vList6"/>
    <dgm:cxn modelId="{5F862253-599E-4AB6-8C41-2BE16ECFB240}" srcId="{FEDCDFEB-77E3-486D-863F-CEE6C130A1D1}" destId="{154DFE35-98F5-465F-BB74-41DB599308EA}" srcOrd="1" destOrd="0" parTransId="{34BFAB63-D3B9-4BB0-8F4C-BFC7AD42EE14}" sibTransId="{894E33A8-788D-438C-ADAE-B397123FBA57}"/>
    <dgm:cxn modelId="{772D5130-8A79-40E7-B836-14B2199AA33B}" type="presOf" srcId="{35FFEAB9-AF91-4C62-991F-A4FB513E8CD6}" destId="{DC04249A-2470-4935-9014-0E15951F6FC5}" srcOrd="0" destOrd="0" presId="urn:microsoft.com/office/officeart/2005/8/layout/vList6"/>
    <dgm:cxn modelId="{0979B2B2-984D-4B42-AB50-C6E041913BA6}" type="presOf" srcId="{154DFE35-98F5-465F-BB74-41DB599308EA}" destId="{22D781D8-E1E5-4C6A-9296-C3F0FA0F4CFE}" srcOrd="0" destOrd="0" presId="urn:microsoft.com/office/officeart/2005/8/layout/vList6"/>
    <dgm:cxn modelId="{8780D03D-4879-4757-A8BB-AB3B683B692B}" srcId="{154DFE35-98F5-465F-BB74-41DB599308EA}" destId="{35FFEAB9-AF91-4C62-991F-A4FB513E8CD6}" srcOrd="0" destOrd="0" parTransId="{CC23190A-18C2-43E6-A3D4-2CF3758FDCBD}" sibTransId="{AA22C961-3F5F-4FD4-B7F3-57CD2CC315E9}"/>
    <dgm:cxn modelId="{19A15407-D9CE-402C-A374-836B1F715D4B}" srcId="{AA6117A6-2C7C-425A-81AE-A4853785F559}" destId="{9D8189C4-8ECD-4F34-8066-67C5FB10EB5D}" srcOrd="0" destOrd="0" parTransId="{6667D894-00B1-4C05-A1A6-DB5AAEF98108}" sibTransId="{D0B83A30-4A2F-40D6-8042-FC68B7241123}"/>
    <dgm:cxn modelId="{2DD2E7B7-A3BE-494A-B169-8ADDE635548B}" srcId="{FEDCDFEB-77E3-486D-863F-CEE6C130A1D1}" destId="{AA6117A6-2C7C-425A-81AE-A4853785F559}" srcOrd="0" destOrd="0" parTransId="{CFEC3A11-D905-4F4C-B102-138A7E10455E}" sibTransId="{10F98C20-AAFD-4AA2-8206-247621661F1D}"/>
    <dgm:cxn modelId="{E9ABBC88-C25E-43E9-AA0F-33A5B728E714}" type="presOf" srcId="{AA6117A6-2C7C-425A-81AE-A4853785F559}" destId="{8B924068-8B70-4CAC-9D21-BAC6C43689CF}" srcOrd="0" destOrd="0" presId="urn:microsoft.com/office/officeart/2005/8/layout/vList6"/>
    <dgm:cxn modelId="{4B896882-7F20-4AB7-9974-72B8003029CA}" type="presOf" srcId="{9D8189C4-8ECD-4F34-8066-67C5FB10EB5D}" destId="{2C21D2CA-2B2B-40CA-B11F-9A6A62559664}" srcOrd="0" destOrd="0" presId="urn:microsoft.com/office/officeart/2005/8/layout/vList6"/>
    <dgm:cxn modelId="{400B5815-9C28-4C92-BDD9-6FC9C3E62CD5}" type="presParOf" srcId="{A2E3514C-765D-4D03-9880-995818AFF4FC}" destId="{805CAD6D-5547-46B8-B433-287922AA96E4}" srcOrd="0" destOrd="0" presId="urn:microsoft.com/office/officeart/2005/8/layout/vList6"/>
    <dgm:cxn modelId="{7C6DA709-E274-4023-92C0-DCB48585066F}" type="presParOf" srcId="{805CAD6D-5547-46B8-B433-287922AA96E4}" destId="{8B924068-8B70-4CAC-9D21-BAC6C43689CF}" srcOrd="0" destOrd="0" presId="urn:microsoft.com/office/officeart/2005/8/layout/vList6"/>
    <dgm:cxn modelId="{8FCB4C26-F371-4DAF-A62E-5418570AC5C4}" type="presParOf" srcId="{805CAD6D-5547-46B8-B433-287922AA96E4}" destId="{2C21D2CA-2B2B-40CA-B11F-9A6A62559664}" srcOrd="1" destOrd="0" presId="urn:microsoft.com/office/officeart/2005/8/layout/vList6"/>
    <dgm:cxn modelId="{1647AEEC-DB75-4709-9A48-F3475E09F8E2}" type="presParOf" srcId="{A2E3514C-765D-4D03-9880-995818AFF4FC}" destId="{74537EDE-6395-4C18-9AD0-B32E25B3B076}" srcOrd="1" destOrd="0" presId="urn:microsoft.com/office/officeart/2005/8/layout/vList6"/>
    <dgm:cxn modelId="{BBC94C4E-28CB-482A-8D51-34110F6CD45E}" type="presParOf" srcId="{A2E3514C-765D-4D03-9880-995818AFF4FC}" destId="{13BA2B3B-4E4F-4672-BF92-53D3FBC41342}" srcOrd="2" destOrd="0" presId="urn:microsoft.com/office/officeart/2005/8/layout/vList6"/>
    <dgm:cxn modelId="{C19CBDC4-7310-4FCA-92C6-FBEA2CB5041B}" type="presParOf" srcId="{13BA2B3B-4E4F-4672-BF92-53D3FBC41342}" destId="{22D781D8-E1E5-4C6A-9296-C3F0FA0F4CFE}" srcOrd="0" destOrd="0" presId="urn:microsoft.com/office/officeart/2005/8/layout/vList6"/>
    <dgm:cxn modelId="{A63F76F2-941C-4385-997F-95B4E3862474}" type="presParOf" srcId="{13BA2B3B-4E4F-4672-BF92-53D3FBC41342}" destId="{DC04249A-2470-4935-9014-0E15951F6FC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21D2CA-2B2B-40CA-B11F-9A6A62559664}">
      <dsp:nvSpPr>
        <dsp:cNvPr id="0" name=""/>
        <dsp:cNvSpPr/>
      </dsp:nvSpPr>
      <dsp:spPr>
        <a:xfrm>
          <a:off x="1612115" y="219"/>
          <a:ext cx="2418172" cy="85745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>
          <a:noAutofit/>
        </a:bodyPr>
        <a:lstStyle/>
        <a:p>
          <a:pPr marL="285750" lvl="1" indent="-285750" algn="ctr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200" kern="1200">
              <a:solidFill>
                <a:srgbClr val="C00000"/>
              </a:solidFill>
            </a:rPr>
            <a:t>99,6%</a:t>
          </a:r>
          <a:endParaRPr lang="ru-RU" sz="3200" kern="1200"/>
        </a:p>
      </dsp:txBody>
      <dsp:txXfrm>
        <a:off x="1612115" y="107401"/>
        <a:ext cx="2096628" cy="643089"/>
      </dsp:txXfrm>
    </dsp:sp>
    <dsp:sp modelId="{8B924068-8B70-4CAC-9D21-BAC6C43689CF}">
      <dsp:nvSpPr>
        <dsp:cNvPr id="0" name=""/>
        <dsp:cNvSpPr/>
      </dsp:nvSpPr>
      <dsp:spPr>
        <a:xfrm>
          <a:off x="0" y="219"/>
          <a:ext cx="1612115" cy="857452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РК</a:t>
          </a:r>
        </a:p>
      </dsp:txBody>
      <dsp:txXfrm>
        <a:off x="41857" y="42076"/>
        <a:ext cx="1528401" cy="773738"/>
      </dsp:txXfrm>
    </dsp:sp>
    <dsp:sp modelId="{DC04249A-2470-4935-9014-0E15951F6FC5}">
      <dsp:nvSpPr>
        <dsp:cNvPr id="0" name=""/>
        <dsp:cNvSpPr/>
      </dsp:nvSpPr>
      <dsp:spPr>
        <a:xfrm>
          <a:off x="1612115" y="943418"/>
          <a:ext cx="2418172" cy="85745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>
          <a:noAutofit/>
        </a:bodyPr>
        <a:lstStyle/>
        <a:p>
          <a:pPr marL="285750" lvl="1" indent="-285750" algn="ctr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200" kern="1200">
              <a:solidFill>
                <a:sysClr val="windowText" lastClr="000000"/>
              </a:solidFill>
            </a:rPr>
            <a:t>85%</a:t>
          </a:r>
        </a:p>
      </dsp:txBody>
      <dsp:txXfrm>
        <a:off x="1612115" y="1050600"/>
        <a:ext cx="2096628" cy="643089"/>
      </dsp:txXfrm>
    </dsp:sp>
    <dsp:sp modelId="{22D781D8-E1E5-4C6A-9296-C3F0FA0F4CFE}">
      <dsp:nvSpPr>
        <dsp:cNvPr id="0" name=""/>
        <dsp:cNvSpPr/>
      </dsp:nvSpPr>
      <dsp:spPr>
        <a:xfrm>
          <a:off x="0" y="943418"/>
          <a:ext cx="1612115" cy="857452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стандарт ВОЗ</a:t>
          </a:r>
        </a:p>
      </dsp:txBody>
      <dsp:txXfrm>
        <a:off x="41857" y="985275"/>
        <a:ext cx="1528401" cy="773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0.67687</cdr:x>
      <cdr:y>0.1074</cdr:y>
    </cdr:from>
    <cdr:to>
      <cdr:x>0.9998</cdr:x>
      <cdr:y>0.30919</cdr:y>
    </cdr:to>
    <cdr:sp macro="" textlink="">
      <cdr:nvSpPr>
        <cdr:cNvPr id="6" name="Стрелка вниз 5"/>
        <cdr:cNvSpPr/>
      </cdr:nvSpPr>
      <cdr:spPr>
        <a:xfrm xmlns:a="http://schemas.openxmlformats.org/drawingml/2006/main">
          <a:off x="3873650" y="374168"/>
          <a:ext cx="1848081" cy="703021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снижение  в 2,5 раза за 10 лет</a:t>
          </a:r>
        </a:p>
      </cdr:txBody>
    </cdr:sp>
  </cdr:relSizeAnchor>
  <cdr:relSizeAnchor xmlns:cdr="http://schemas.openxmlformats.org/drawingml/2006/chartDrawing">
    <cdr:from>
      <cdr:x>0.67707</cdr:x>
      <cdr:y>0.48879</cdr:y>
    </cdr:from>
    <cdr:to>
      <cdr:x>1</cdr:x>
      <cdr:y>0.69058</cdr:y>
    </cdr:to>
    <cdr:sp macro="" textlink="">
      <cdr:nvSpPr>
        <cdr:cNvPr id="7" name="Стрелка вниз 6"/>
        <cdr:cNvSpPr/>
      </cdr:nvSpPr>
      <cdr:spPr>
        <a:xfrm xmlns:a="http://schemas.openxmlformats.org/drawingml/2006/main">
          <a:off x="5362222" y="1230488"/>
          <a:ext cx="1848273" cy="507999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  <a:ln xmlns:a="http://schemas.openxmlformats.org/drawingml/2006/main"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снижение  в 6 раз за </a:t>
          </a: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10 лет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4DB3-79D1-436E-A900-C8A9721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Нурахметова Амангуль Жумабаевна</cp:lastModifiedBy>
  <cp:revision>2</cp:revision>
  <cp:lastPrinted>2017-07-24T04:50:00Z</cp:lastPrinted>
  <dcterms:created xsi:type="dcterms:W3CDTF">2017-09-27T04:58:00Z</dcterms:created>
  <dcterms:modified xsi:type="dcterms:W3CDTF">2017-09-27T04:58:00Z</dcterms:modified>
</cp:coreProperties>
</file>