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CB7BF9">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96459B" w:rsidRPr="0096459B">
        <w:rPr>
          <w:lang w:val="kk-KZ"/>
        </w:rPr>
        <w:t xml:space="preserve"> </w:t>
      </w:r>
      <w:hyperlink r:id="rId7" w:history="1">
        <w:r w:rsidR="00CB7BF9" w:rsidRPr="00181210">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4E7A19" w:rsidRPr="00C776D6">
        <w:rPr>
          <w:b/>
          <w:sz w:val="24"/>
          <w:szCs w:val="24"/>
        </w:rPr>
        <w:t>Управлени</w:t>
      </w:r>
      <w:proofErr w:type="spellEnd"/>
      <w:r w:rsidR="004E7A19">
        <w:rPr>
          <w:b/>
          <w:sz w:val="24"/>
          <w:szCs w:val="24"/>
          <w:lang w:val="kk-KZ"/>
        </w:rPr>
        <w:t>я</w:t>
      </w:r>
      <w:r w:rsidR="004E7A19" w:rsidRPr="00C776D6">
        <w:rPr>
          <w:b/>
          <w:sz w:val="24"/>
          <w:szCs w:val="24"/>
        </w:rPr>
        <w:t xml:space="preserve"> адм</w:t>
      </w:r>
      <w:r w:rsidR="0096459B">
        <w:rPr>
          <w:b/>
          <w:sz w:val="24"/>
          <w:szCs w:val="24"/>
        </w:rPr>
        <w:t xml:space="preserve">инистрирования </w:t>
      </w:r>
      <w:r w:rsidR="00CB7BF9">
        <w:rPr>
          <w:b/>
          <w:sz w:val="24"/>
          <w:szCs w:val="24"/>
          <w:lang w:val="kk-KZ"/>
        </w:rPr>
        <w:t xml:space="preserve">физических лиц </w:t>
      </w:r>
      <w:r w:rsidR="004E7A19" w:rsidRPr="00C776D6">
        <w:rPr>
          <w:b/>
          <w:sz w:val="24"/>
          <w:szCs w:val="24"/>
        </w:rPr>
        <w:t>Департамента налогового</w:t>
      </w:r>
      <w:r w:rsidR="00CB7BF9">
        <w:rPr>
          <w:b/>
          <w:sz w:val="24"/>
          <w:szCs w:val="24"/>
          <w:lang w:val="kk-KZ"/>
        </w:rPr>
        <w:t xml:space="preserve"> </w:t>
      </w:r>
      <w:r w:rsidR="004E7A19" w:rsidRPr="00C776D6">
        <w:rPr>
          <w:b/>
          <w:sz w:val="24"/>
          <w:szCs w:val="24"/>
        </w:rPr>
        <w:t>контроля</w:t>
      </w:r>
      <w:r w:rsidR="00C2724C" w:rsidRPr="00CE51F0">
        <w:rPr>
          <w:b/>
          <w:bCs/>
          <w:sz w:val="24"/>
          <w:szCs w:val="24"/>
        </w:rPr>
        <w:t>, категория С-</w:t>
      </w:r>
      <w:r>
        <w:rPr>
          <w:b/>
          <w:bCs/>
          <w:sz w:val="24"/>
          <w:szCs w:val="24"/>
          <w:lang w:val="kk-KZ"/>
        </w:rPr>
        <w:t>4</w:t>
      </w:r>
      <w:r w:rsidR="00CB7BF9">
        <w:rPr>
          <w:b/>
          <w:bCs/>
          <w:sz w:val="24"/>
          <w:szCs w:val="24"/>
        </w:rPr>
        <w:t xml:space="preserve">, </w:t>
      </w:r>
      <w:r w:rsidR="00CB7BF9">
        <w:rPr>
          <w:b/>
          <w:bCs/>
          <w:sz w:val="24"/>
          <w:szCs w:val="24"/>
          <w:lang w:val="kk-KZ"/>
        </w:rPr>
        <w:t>2</w:t>
      </w:r>
      <w:r>
        <w:rPr>
          <w:b/>
          <w:bCs/>
          <w:sz w:val="24"/>
          <w:szCs w:val="24"/>
        </w:rPr>
        <w:t xml:space="preserve"> единиц</w:t>
      </w:r>
      <w:r w:rsidR="00CB7BF9">
        <w:rPr>
          <w:b/>
          <w:bCs/>
          <w:sz w:val="24"/>
          <w:szCs w:val="24"/>
          <w:lang w:val="kk-KZ"/>
        </w:rPr>
        <w:t>ы</w:t>
      </w:r>
    </w:p>
    <w:p w:rsidR="00CB7BF9" w:rsidRPr="00CB2CA1" w:rsidRDefault="00C359E0" w:rsidP="00CB7BF9">
      <w:pPr>
        <w:tabs>
          <w:tab w:val="left" w:pos="252"/>
        </w:tabs>
        <w:jc w:val="both"/>
        <w:rPr>
          <w:rFonts w:eastAsia="Calibri"/>
          <w:color w:val="000000" w:themeColor="text1"/>
          <w:sz w:val="24"/>
          <w:szCs w:val="24"/>
          <w:lang w:eastAsia="en-US"/>
        </w:rPr>
      </w:pPr>
      <w:r>
        <w:rPr>
          <w:b/>
          <w:sz w:val="24"/>
          <w:szCs w:val="24"/>
          <w:lang w:val="kk-KZ"/>
        </w:rPr>
        <w:t xml:space="preserve">            </w:t>
      </w:r>
      <w:r w:rsidRPr="00C359E0">
        <w:rPr>
          <w:b/>
          <w:sz w:val="24"/>
          <w:szCs w:val="24"/>
        </w:rPr>
        <w:t xml:space="preserve">Функциональные обязанности: </w:t>
      </w:r>
      <w:proofErr w:type="gramStart"/>
      <w:r w:rsidR="00CB7BF9" w:rsidRPr="00CB2CA1">
        <w:rPr>
          <w:rFonts w:eastAsia="Calibri"/>
          <w:color w:val="000000" w:themeColor="text1"/>
          <w:sz w:val="24"/>
          <w:szCs w:val="24"/>
          <w:lang w:eastAsia="en-US"/>
        </w:rPr>
        <w:t xml:space="preserve">Разъяснение и внесение предложений по совершенствованию норм налогового законодательства Республики Казахстан в части исчисления и уплаты физическими лицами индивидуального подоходного налога, </w:t>
      </w:r>
      <w:r w:rsidR="00CB7BF9" w:rsidRPr="00CB2CA1">
        <w:rPr>
          <w:color w:val="000000" w:themeColor="text1"/>
          <w:sz w:val="24"/>
          <w:szCs w:val="24"/>
          <w:lang w:eastAsia="en-US"/>
        </w:rPr>
        <w:t>налога на транспортные средства, земельного налога, налога на имущество с физических лиц; администрирование налога на имущество, земельного налога, налога на транспортные средства с физических лиц; администрирование электронной торговли; администрирование декларации о доходах и имуществе;</w:t>
      </w:r>
      <w:proofErr w:type="gramEnd"/>
      <w:r w:rsidR="00CB7BF9" w:rsidRPr="00CB2CA1">
        <w:rPr>
          <w:color w:val="000000" w:themeColor="text1"/>
          <w:sz w:val="24"/>
          <w:szCs w:val="24"/>
          <w:lang w:eastAsia="en-US"/>
        </w:rPr>
        <w:t xml:space="preserve"> </w:t>
      </w:r>
      <w:r w:rsidR="00CB7BF9" w:rsidRPr="00CB2CA1">
        <w:rPr>
          <w:rFonts w:eastAsia="Calibri"/>
          <w:color w:val="000000" w:themeColor="text1"/>
          <w:sz w:val="24"/>
          <w:szCs w:val="24"/>
          <w:lang w:eastAsia="en-US"/>
        </w:rPr>
        <w:t xml:space="preserve"> разработки форм налоговой отчетности по компетенции.</w:t>
      </w:r>
    </w:p>
    <w:p w:rsidR="00CF0FFF" w:rsidRDefault="00CB7BF9" w:rsidP="00CB7BF9">
      <w:pPr>
        <w:tabs>
          <w:tab w:val="left" w:pos="252"/>
        </w:tabs>
        <w:contextualSpacing/>
        <w:jc w:val="both"/>
        <w:rPr>
          <w:b/>
          <w:sz w:val="24"/>
          <w:szCs w:val="24"/>
          <w:lang w:val="kk-KZ"/>
        </w:rPr>
      </w:pPr>
      <w:proofErr w:type="gramStart"/>
      <w:r w:rsidRPr="00CB2CA1">
        <w:rPr>
          <w:rFonts w:eastAsia="Calibri"/>
          <w:color w:val="000000" w:themeColor="text1"/>
          <w:sz w:val="24"/>
          <w:szCs w:val="24"/>
          <w:lang w:eastAsia="en-US"/>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отработки результатов налогового камерального контроля физических лиц; совершенствование налогового администрирования физических лиц;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Pr="00CB2CA1">
        <w:rPr>
          <w:rFonts w:eastAsia="Calibri"/>
          <w:color w:val="000000" w:themeColor="text1"/>
          <w:sz w:val="24"/>
          <w:szCs w:val="24"/>
          <w:lang w:eastAsia="en-US"/>
        </w:rPr>
        <w:t xml:space="preserve"> рассмотрение обращений налогоплательщиков в пределах компетенции </w:t>
      </w:r>
      <w:r w:rsidRPr="00CB2CA1">
        <w:rPr>
          <w:rFonts w:eastAsia="Calibri"/>
          <w:color w:val="000000" w:themeColor="text1"/>
          <w:sz w:val="24"/>
          <w:szCs w:val="24"/>
          <w:lang w:val="kk-KZ" w:eastAsia="en-US"/>
        </w:rPr>
        <w:t>У</w:t>
      </w:r>
      <w:r w:rsidRPr="00CB2CA1">
        <w:rPr>
          <w:rFonts w:eastAsia="Calibri"/>
          <w:color w:val="000000" w:themeColor="text1"/>
          <w:sz w:val="24"/>
          <w:szCs w:val="24"/>
          <w:lang w:eastAsia="en-US"/>
        </w:rPr>
        <w:t>правления</w:t>
      </w:r>
      <w:r w:rsidRPr="00CB2CA1">
        <w:rPr>
          <w:rFonts w:eastAsia="Calibri"/>
          <w:color w:val="000000" w:themeColor="text1"/>
          <w:sz w:val="24"/>
          <w:szCs w:val="24"/>
          <w:lang w:val="kk-KZ" w:eastAsia="en-US"/>
        </w:rPr>
        <w:t>,</w:t>
      </w:r>
      <w:r w:rsidRPr="00CB2CA1">
        <w:rPr>
          <w:rFonts w:eastAsia="Calibri"/>
          <w:color w:val="000000" w:themeColor="text1"/>
          <w:sz w:val="24"/>
          <w:szCs w:val="24"/>
          <w:lang w:eastAsia="en-US"/>
        </w:rPr>
        <w:t xml:space="preserve"> изучение материалов и сведений, касающихся физических лиц на предмет выявления и анализа налоговых правонарушений; по результатам аналитической работы внесение предложений по устранению причин и условий, способствовавшим совершению налоговых правонарушений.</w:t>
      </w:r>
      <w:r w:rsidR="00C359E0">
        <w:rPr>
          <w:b/>
          <w:sz w:val="24"/>
          <w:szCs w:val="24"/>
          <w:lang w:val="kk-KZ"/>
        </w:rPr>
        <w:t xml:space="preserve">           </w:t>
      </w:r>
      <w:r w:rsidR="00CF0FFF">
        <w:rPr>
          <w:b/>
          <w:sz w:val="24"/>
          <w:szCs w:val="24"/>
          <w:lang w:val="kk-KZ"/>
        </w:rPr>
        <w:t xml:space="preserve">    </w:t>
      </w:r>
    </w:p>
    <w:p w:rsidR="00CB7BF9" w:rsidRDefault="00CF0FFF" w:rsidP="00CB7BF9">
      <w:pPr>
        <w:jc w:val="both"/>
        <w:rPr>
          <w:b/>
          <w:bCs/>
          <w:sz w:val="24"/>
          <w:szCs w:val="24"/>
          <w:lang w:val="kk-KZ"/>
        </w:rPr>
      </w:pPr>
      <w:r>
        <w:rPr>
          <w:b/>
          <w:sz w:val="24"/>
          <w:szCs w:val="24"/>
          <w:lang w:val="kk-KZ"/>
        </w:rPr>
        <w:t xml:space="preserve">          </w:t>
      </w:r>
      <w:r w:rsidR="00C359E0" w:rsidRPr="00C359E0">
        <w:rPr>
          <w:b/>
          <w:sz w:val="24"/>
          <w:szCs w:val="24"/>
        </w:rPr>
        <w:t>Требования к учас</w:t>
      </w:r>
      <w:r w:rsidR="0096459B">
        <w:rPr>
          <w:b/>
          <w:sz w:val="24"/>
          <w:szCs w:val="24"/>
        </w:rPr>
        <w:t xml:space="preserve">тникам конкурса: </w:t>
      </w:r>
      <w:proofErr w:type="gramStart"/>
      <w:r w:rsidR="0096459B" w:rsidRPr="00345502">
        <w:rPr>
          <w:sz w:val="24"/>
          <w:szCs w:val="24"/>
        </w:rPr>
        <w:t xml:space="preserve">Образование высшее: </w:t>
      </w:r>
      <w:r w:rsidR="00CB7BF9" w:rsidRPr="001B7BC4">
        <w:rPr>
          <w:color w:val="000000" w:themeColor="text1"/>
          <w:sz w:val="24"/>
        </w:rPr>
        <w:t xml:space="preserve">социальные науки, экономика и бизнес </w:t>
      </w:r>
      <w:r w:rsidR="00CB7BF9" w:rsidRPr="001B7BC4">
        <w:rPr>
          <w:color w:val="000000" w:themeColor="text1"/>
          <w:sz w:val="24"/>
          <w:lang w:val="kk-KZ"/>
        </w:rPr>
        <w:t xml:space="preserve">(экономика, менеджмент, </w:t>
      </w:r>
      <w:r w:rsidR="00CB7BF9" w:rsidRPr="001B7BC4">
        <w:rPr>
          <w:color w:val="000000" w:themeColor="text1"/>
          <w:sz w:val="24"/>
        </w:rPr>
        <w:t>учет и аудит</w:t>
      </w:r>
      <w:r w:rsidR="00CB7BF9" w:rsidRPr="001B7BC4">
        <w:rPr>
          <w:color w:val="000000" w:themeColor="text1"/>
          <w:sz w:val="24"/>
          <w:lang w:val="kk-KZ"/>
        </w:rPr>
        <w:t xml:space="preserve">, финансы, государственное и местное управление) </w:t>
      </w:r>
      <w:r w:rsidR="00CB7BF9" w:rsidRPr="001B7BC4">
        <w:rPr>
          <w:color w:val="000000" w:themeColor="text1"/>
          <w:sz w:val="24"/>
        </w:rPr>
        <w:t>или право</w:t>
      </w:r>
      <w:r w:rsidR="00CB7BF9">
        <w:rPr>
          <w:color w:val="000000"/>
          <w:sz w:val="24"/>
          <w:szCs w:val="24"/>
          <w:lang w:val="kk-KZ"/>
        </w:rPr>
        <w:t>.</w:t>
      </w:r>
      <w:proofErr w:type="gramEnd"/>
      <w:r w:rsidR="00CB7BF9">
        <w:rPr>
          <w:color w:val="000000"/>
          <w:sz w:val="24"/>
          <w:szCs w:val="24"/>
          <w:lang w:val="kk-KZ"/>
        </w:rPr>
        <w:t xml:space="preserve"> </w:t>
      </w:r>
      <w:r w:rsidR="0096459B"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96459B">
        <w:rPr>
          <w:color w:val="000000"/>
          <w:sz w:val="24"/>
          <w:szCs w:val="24"/>
          <w:lang w:val="kk-KZ"/>
        </w:rPr>
        <w:t xml:space="preserve"> </w:t>
      </w:r>
      <w:r w:rsidR="0096459B" w:rsidRPr="00345502">
        <w:rPr>
          <w:sz w:val="24"/>
          <w:szCs w:val="24"/>
        </w:rPr>
        <w:t xml:space="preserve"> </w:t>
      </w:r>
      <w:r w:rsidR="0096459B" w:rsidRPr="00345502">
        <w:rPr>
          <w:sz w:val="24"/>
          <w:szCs w:val="24"/>
          <w:lang w:val="kk-KZ"/>
        </w:rPr>
        <w:t xml:space="preserve"> </w:t>
      </w:r>
      <w:r w:rsidR="0096459B" w:rsidRPr="00345502">
        <w:rPr>
          <w:sz w:val="24"/>
          <w:szCs w:val="24"/>
        </w:rPr>
        <w:t xml:space="preserve">Стратегии «Казахстан – 2050»: новый политический курс состоявшегося государства. </w:t>
      </w:r>
      <w:r w:rsidR="00CB7BF9" w:rsidRPr="00CB2CA1">
        <w:rPr>
          <w:color w:val="000000" w:themeColor="text1"/>
          <w:sz w:val="24"/>
          <w:szCs w:val="24"/>
        </w:rPr>
        <w:t xml:space="preserve">Желательно </w:t>
      </w:r>
      <w:r w:rsidR="00CB7BF9" w:rsidRPr="00CB2CA1">
        <w:rPr>
          <w:color w:val="000000" w:themeColor="text1"/>
          <w:sz w:val="24"/>
          <w:szCs w:val="24"/>
          <w:lang w:val="kk-KZ"/>
        </w:rPr>
        <w:t>з</w:t>
      </w:r>
      <w:proofErr w:type="spellStart"/>
      <w:r w:rsidR="00CB7BF9" w:rsidRPr="00CB2CA1">
        <w:rPr>
          <w:color w:val="000000" w:themeColor="text1"/>
          <w:sz w:val="24"/>
          <w:szCs w:val="24"/>
        </w:rPr>
        <w:t>нание</w:t>
      </w:r>
      <w:proofErr w:type="spellEnd"/>
      <w:r w:rsidR="00CB7BF9" w:rsidRPr="00CB2CA1">
        <w:rPr>
          <w:color w:val="000000" w:themeColor="text1"/>
          <w:sz w:val="24"/>
          <w:szCs w:val="24"/>
        </w:rPr>
        <w:t xml:space="preserve"> налогового законодательства</w:t>
      </w:r>
      <w:r w:rsidR="00CB7BF9">
        <w:rPr>
          <w:color w:val="000000" w:themeColor="text1"/>
          <w:sz w:val="24"/>
          <w:szCs w:val="24"/>
          <w:lang w:val="kk-KZ"/>
        </w:rPr>
        <w:t xml:space="preserve">. </w:t>
      </w:r>
      <w:r w:rsidR="00CB7BF9" w:rsidRPr="00CB2CA1">
        <w:rPr>
          <w:color w:val="000000" w:themeColor="text1"/>
          <w:sz w:val="24"/>
          <w:szCs w:val="24"/>
        </w:rPr>
        <w:t>Другие обязательные знания</w:t>
      </w:r>
      <w:r w:rsidR="00CB7BF9">
        <w:rPr>
          <w:b/>
          <w:bCs/>
          <w:sz w:val="24"/>
          <w:szCs w:val="24"/>
          <w:lang w:val="kk-KZ"/>
        </w:rPr>
        <w:t xml:space="preserve">   </w:t>
      </w:r>
    </w:p>
    <w:p w:rsidR="00CB7BF9" w:rsidRDefault="00CB7BF9" w:rsidP="00CB7BF9">
      <w:pPr>
        <w:jc w:val="both"/>
        <w:rPr>
          <w:b/>
          <w:bCs/>
          <w:sz w:val="24"/>
          <w:szCs w:val="24"/>
          <w:lang w:val="kk-KZ"/>
        </w:rPr>
      </w:pPr>
      <w:r>
        <w:rPr>
          <w:b/>
          <w:bCs/>
          <w:sz w:val="24"/>
          <w:szCs w:val="24"/>
          <w:lang w:val="kk-KZ"/>
        </w:rPr>
        <w:t xml:space="preserve">            </w:t>
      </w:r>
    </w:p>
    <w:p w:rsidR="002D5618" w:rsidRPr="00CB7BF9" w:rsidRDefault="001B0DE6" w:rsidP="00CB7BF9">
      <w:pPr>
        <w:pStyle w:val="af4"/>
        <w:numPr>
          <w:ilvl w:val="0"/>
          <w:numId w:val="2"/>
        </w:numPr>
        <w:jc w:val="both"/>
        <w:rPr>
          <w:b/>
          <w:bCs/>
          <w:sz w:val="24"/>
          <w:szCs w:val="24"/>
        </w:rPr>
      </w:pPr>
      <w:r w:rsidRPr="00CB7BF9">
        <w:rPr>
          <w:b/>
          <w:bCs/>
          <w:sz w:val="24"/>
          <w:szCs w:val="24"/>
          <w:lang w:val="kk-KZ"/>
        </w:rPr>
        <w:t>Главный эксперт</w:t>
      </w:r>
      <w:r w:rsidR="00536A96">
        <w:rPr>
          <w:b/>
          <w:bCs/>
          <w:sz w:val="24"/>
          <w:szCs w:val="24"/>
          <w:lang w:val="kk-KZ"/>
        </w:rPr>
        <w:t>-главный бухгалтер</w:t>
      </w:r>
      <w:r w:rsidRPr="00CB7BF9">
        <w:rPr>
          <w:b/>
          <w:bCs/>
          <w:sz w:val="24"/>
          <w:szCs w:val="24"/>
          <w:lang w:val="kk-KZ"/>
        </w:rPr>
        <w:t xml:space="preserve"> </w:t>
      </w:r>
      <w:r w:rsidR="00536A96">
        <w:rPr>
          <w:b/>
          <w:bCs/>
          <w:sz w:val="24"/>
          <w:szCs w:val="24"/>
          <w:lang w:val="kk-KZ"/>
        </w:rPr>
        <w:t>Организационно-финансового у</w:t>
      </w:r>
      <w:proofErr w:type="spellStart"/>
      <w:r w:rsidR="002D5618" w:rsidRPr="00CB7BF9">
        <w:rPr>
          <w:b/>
          <w:sz w:val="24"/>
          <w:szCs w:val="24"/>
        </w:rPr>
        <w:t>правлени</w:t>
      </w:r>
      <w:proofErr w:type="spellEnd"/>
      <w:r w:rsidR="00504475" w:rsidRPr="00CB7BF9">
        <w:rPr>
          <w:b/>
          <w:sz w:val="24"/>
          <w:szCs w:val="24"/>
          <w:lang w:val="kk-KZ"/>
        </w:rPr>
        <w:t>я</w:t>
      </w:r>
      <w:r w:rsidR="002D5618" w:rsidRPr="00CB7BF9">
        <w:rPr>
          <w:b/>
          <w:sz w:val="24"/>
          <w:szCs w:val="24"/>
          <w:lang w:val="kk-KZ"/>
        </w:rPr>
        <w:t xml:space="preserve"> </w:t>
      </w:r>
      <w:r w:rsidR="00536A96">
        <w:rPr>
          <w:b/>
          <w:sz w:val="24"/>
          <w:szCs w:val="24"/>
          <w:lang w:val="kk-KZ"/>
        </w:rPr>
        <w:t>Департамента развития и координации, кат</w:t>
      </w:r>
      <w:proofErr w:type="spellStart"/>
      <w:r w:rsidR="002D5618" w:rsidRPr="00CB7BF9">
        <w:rPr>
          <w:b/>
          <w:bCs/>
          <w:sz w:val="24"/>
          <w:szCs w:val="24"/>
        </w:rPr>
        <w:t>егория</w:t>
      </w:r>
      <w:proofErr w:type="spellEnd"/>
      <w:r w:rsidR="002D5618" w:rsidRPr="00CB7BF9">
        <w:rPr>
          <w:b/>
          <w:bCs/>
          <w:sz w:val="24"/>
          <w:szCs w:val="24"/>
        </w:rPr>
        <w:t xml:space="preserve"> С-</w:t>
      </w:r>
      <w:r w:rsidRPr="00CB7BF9">
        <w:rPr>
          <w:b/>
          <w:bCs/>
          <w:sz w:val="24"/>
          <w:szCs w:val="24"/>
          <w:lang w:val="kk-KZ"/>
        </w:rPr>
        <w:t>4</w:t>
      </w:r>
      <w:r w:rsidR="00CF0FFF" w:rsidRPr="00CB7BF9">
        <w:rPr>
          <w:b/>
          <w:bCs/>
          <w:sz w:val="24"/>
          <w:szCs w:val="24"/>
        </w:rPr>
        <w:t xml:space="preserve">, </w:t>
      </w:r>
      <w:r w:rsidR="00536A96">
        <w:rPr>
          <w:b/>
          <w:bCs/>
          <w:sz w:val="24"/>
          <w:szCs w:val="24"/>
          <w:lang w:val="kk-KZ"/>
        </w:rPr>
        <w:t>1</w:t>
      </w:r>
      <w:r w:rsidR="00CF0FFF" w:rsidRPr="00CB7BF9">
        <w:rPr>
          <w:b/>
          <w:bCs/>
          <w:sz w:val="24"/>
          <w:szCs w:val="24"/>
          <w:lang w:val="kk-KZ"/>
        </w:rPr>
        <w:t xml:space="preserve"> единиц</w:t>
      </w:r>
      <w:r w:rsidR="00536A96">
        <w:rPr>
          <w:b/>
          <w:bCs/>
          <w:sz w:val="24"/>
          <w:szCs w:val="24"/>
          <w:lang w:val="kk-KZ"/>
        </w:rPr>
        <w:t>а</w:t>
      </w:r>
    </w:p>
    <w:p w:rsidR="00536A96" w:rsidRDefault="002D5618" w:rsidP="00536A96">
      <w:pPr>
        <w:tabs>
          <w:tab w:val="left" w:pos="252"/>
        </w:tabs>
        <w:contextualSpacing/>
        <w:jc w:val="both"/>
        <w:rPr>
          <w:color w:val="000000" w:themeColor="text1"/>
          <w:sz w:val="24"/>
          <w:szCs w:val="24"/>
          <w:lang w:val="kk-KZ"/>
        </w:rPr>
      </w:pPr>
      <w:r>
        <w:rPr>
          <w:b/>
          <w:sz w:val="24"/>
          <w:szCs w:val="24"/>
          <w:lang w:val="kk-KZ"/>
        </w:rPr>
        <w:t xml:space="preserve">            </w:t>
      </w:r>
      <w:r w:rsidRPr="00C359E0">
        <w:rPr>
          <w:b/>
          <w:sz w:val="24"/>
          <w:szCs w:val="24"/>
        </w:rPr>
        <w:t xml:space="preserve">Функциональные обязанности: </w:t>
      </w:r>
      <w:r w:rsidR="00536A96" w:rsidRPr="00CB2CA1">
        <w:rPr>
          <w:color w:val="000000" w:themeColor="text1"/>
          <w:sz w:val="24"/>
          <w:szCs w:val="24"/>
          <w:lang w:val="kk-KZ"/>
        </w:rPr>
        <w:t>О</w:t>
      </w:r>
      <w:proofErr w:type="spellStart"/>
      <w:r w:rsidR="00536A96" w:rsidRPr="00CB2CA1">
        <w:rPr>
          <w:color w:val="000000" w:themeColor="text1"/>
          <w:sz w:val="24"/>
          <w:szCs w:val="24"/>
        </w:rPr>
        <w:t>рганизация</w:t>
      </w:r>
      <w:proofErr w:type="spellEnd"/>
      <w:r w:rsidR="00536A96" w:rsidRPr="00CB2CA1">
        <w:rPr>
          <w:color w:val="000000" w:themeColor="text1"/>
          <w:sz w:val="24"/>
          <w:szCs w:val="24"/>
        </w:rPr>
        <w:t xml:space="preserve">  и осуществление  работ по ведению бухгалтерского учета по исполнению планов финансирования путем непрерывного документального обоснованного отражения совершаемых операций (начисление заработной платы, учет расчетов с подотчетными лицами, расчетно-кассовые операции, учет активов и запасов, учет расчетов с поставщиками и подрядчиками); составление и представление сводного баланса Комитета в соответствии  с требованиями  бюджетного законодательства.</w:t>
      </w:r>
    </w:p>
    <w:p w:rsidR="00536A96" w:rsidRDefault="002D5618" w:rsidP="00536A96">
      <w:pPr>
        <w:jc w:val="both"/>
        <w:rPr>
          <w:color w:val="000000" w:themeColor="text1"/>
          <w:sz w:val="24"/>
          <w:szCs w:val="24"/>
          <w:lang w:val="kk-KZ"/>
        </w:rPr>
      </w:pPr>
      <w:r>
        <w:rPr>
          <w:b/>
          <w:sz w:val="24"/>
          <w:szCs w:val="24"/>
          <w:lang w:val="kk-KZ"/>
        </w:rPr>
        <w:t xml:space="preserve">           </w:t>
      </w:r>
      <w:r w:rsidRPr="00CF0FFF">
        <w:rPr>
          <w:b/>
          <w:sz w:val="24"/>
          <w:szCs w:val="24"/>
        </w:rPr>
        <w:t xml:space="preserve">Требования к участникам конкурса:  </w:t>
      </w:r>
      <w:r w:rsidRPr="00CF0FFF">
        <w:rPr>
          <w:sz w:val="24"/>
          <w:szCs w:val="24"/>
        </w:rPr>
        <w:t xml:space="preserve">Образование высшее: </w:t>
      </w:r>
      <w:r w:rsidR="00536A96" w:rsidRPr="00CB2CA1">
        <w:rPr>
          <w:color w:val="000000" w:themeColor="text1"/>
          <w:sz w:val="24"/>
          <w:szCs w:val="24"/>
        </w:rPr>
        <w:t xml:space="preserve">социальные науки, </w:t>
      </w:r>
      <w:r w:rsidR="00536A96" w:rsidRPr="00CB2CA1">
        <w:rPr>
          <w:color w:val="000000" w:themeColor="text1"/>
          <w:sz w:val="24"/>
          <w:szCs w:val="24"/>
          <w:lang w:val="kk-KZ"/>
        </w:rPr>
        <w:t xml:space="preserve">экономика и бизнес или право (экономика, </w:t>
      </w:r>
      <w:r w:rsidR="00536A96" w:rsidRPr="00CB2CA1">
        <w:rPr>
          <w:color w:val="000000" w:themeColor="text1"/>
          <w:sz w:val="24"/>
          <w:szCs w:val="24"/>
        </w:rPr>
        <w:t>учет и ау</w:t>
      </w:r>
      <w:r w:rsidR="00536A96">
        <w:rPr>
          <w:color w:val="000000" w:themeColor="text1"/>
          <w:sz w:val="24"/>
          <w:szCs w:val="24"/>
        </w:rPr>
        <w:t>дит, финансы, мировая экономика</w:t>
      </w:r>
      <w:r w:rsidR="00536A96" w:rsidRPr="00CB2CA1">
        <w:rPr>
          <w:color w:val="000000" w:themeColor="text1"/>
          <w:sz w:val="24"/>
          <w:szCs w:val="24"/>
        </w:rPr>
        <w:t>). Наличие сертификата профессионального бухгалтера.</w:t>
      </w:r>
      <w:r w:rsidRPr="00CF0FFF">
        <w:rPr>
          <w:sz w:val="24"/>
          <w:szCs w:val="24"/>
          <w:lang w:val="kk-KZ"/>
        </w:rPr>
        <w:t xml:space="preserve"> </w:t>
      </w:r>
      <w:r w:rsidRPr="00CF0FFF">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F0FFF">
        <w:rPr>
          <w:color w:val="000000"/>
          <w:sz w:val="24"/>
          <w:szCs w:val="24"/>
          <w:lang w:val="kk-KZ"/>
        </w:rPr>
        <w:t xml:space="preserve"> </w:t>
      </w:r>
      <w:r w:rsidRPr="00CF0FFF">
        <w:rPr>
          <w:sz w:val="24"/>
          <w:szCs w:val="24"/>
        </w:rPr>
        <w:t xml:space="preserve"> </w:t>
      </w:r>
      <w:r w:rsidRPr="00CF0FFF">
        <w:rPr>
          <w:sz w:val="24"/>
          <w:szCs w:val="24"/>
          <w:lang w:val="kk-KZ"/>
        </w:rPr>
        <w:t xml:space="preserve"> </w:t>
      </w:r>
      <w:r w:rsidRPr="00CF0FFF">
        <w:rPr>
          <w:sz w:val="24"/>
          <w:szCs w:val="24"/>
        </w:rPr>
        <w:t xml:space="preserve">Стратегии «Казахстан – 2050»: новый политический курс состоявшегося государства. </w:t>
      </w:r>
      <w:r w:rsidR="00536A96" w:rsidRPr="00CB2CA1">
        <w:rPr>
          <w:color w:val="000000" w:themeColor="text1"/>
          <w:sz w:val="24"/>
          <w:szCs w:val="24"/>
        </w:rPr>
        <w:t>Желательно</w:t>
      </w:r>
      <w:r w:rsidR="00536A96" w:rsidRPr="00CB2CA1">
        <w:rPr>
          <w:color w:val="000000" w:themeColor="text1"/>
          <w:sz w:val="24"/>
          <w:szCs w:val="24"/>
          <w:lang w:val="kk-KZ"/>
        </w:rPr>
        <w:t xml:space="preserve"> з</w:t>
      </w:r>
      <w:proofErr w:type="spellStart"/>
      <w:r w:rsidR="00536A96" w:rsidRPr="00CB2CA1">
        <w:rPr>
          <w:color w:val="000000" w:themeColor="text1"/>
          <w:sz w:val="24"/>
          <w:szCs w:val="24"/>
        </w:rPr>
        <w:t>нание</w:t>
      </w:r>
      <w:proofErr w:type="spellEnd"/>
      <w:r w:rsidR="00536A96" w:rsidRPr="00CB2CA1">
        <w:rPr>
          <w:color w:val="000000" w:themeColor="text1"/>
          <w:sz w:val="24"/>
          <w:szCs w:val="24"/>
        </w:rPr>
        <w:t xml:space="preserve"> налогового законодательства</w:t>
      </w:r>
      <w:r w:rsidR="00536A96">
        <w:rPr>
          <w:color w:val="000000" w:themeColor="text1"/>
          <w:sz w:val="24"/>
          <w:szCs w:val="24"/>
          <w:lang w:val="kk-KZ"/>
        </w:rPr>
        <w:t>. Д</w:t>
      </w:r>
      <w:proofErr w:type="spellStart"/>
      <w:r w:rsidR="00536A96" w:rsidRPr="00CB2CA1">
        <w:rPr>
          <w:color w:val="000000" w:themeColor="text1"/>
          <w:sz w:val="24"/>
          <w:szCs w:val="24"/>
        </w:rPr>
        <w:t>ругие</w:t>
      </w:r>
      <w:proofErr w:type="spellEnd"/>
      <w:r w:rsidR="00536A96" w:rsidRPr="00CB2CA1">
        <w:rPr>
          <w:color w:val="000000" w:themeColor="text1"/>
          <w:sz w:val="24"/>
          <w:szCs w:val="24"/>
        </w:rPr>
        <w:t xml:space="preserve"> обязательные знания</w:t>
      </w:r>
      <w:r w:rsidR="00536A96">
        <w:rPr>
          <w:color w:val="000000" w:themeColor="text1"/>
          <w:sz w:val="24"/>
          <w:szCs w:val="24"/>
          <w:lang w:val="kk-KZ"/>
        </w:rPr>
        <w:t>.</w:t>
      </w:r>
    </w:p>
    <w:p w:rsidR="00536A96" w:rsidRDefault="00536A96" w:rsidP="00536A96">
      <w:pPr>
        <w:jc w:val="both"/>
        <w:rPr>
          <w:color w:val="000000" w:themeColor="text1"/>
          <w:sz w:val="24"/>
          <w:szCs w:val="24"/>
          <w:lang w:val="kk-KZ"/>
        </w:rPr>
      </w:pPr>
      <w:r>
        <w:rPr>
          <w:color w:val="000000" w:themeColor="text1"/>
          <w:sz w:val="24"/>
          <w:szCs w:val="24"/>
          <w:lang w:val="kk-KZ"/>
        </w:rPr>
        <w:t xml:space="preserve">          </w:t>
      </w:r>
    </w:p>
    <w:p w:rsidR="00575EA0" w:rsidRPr="004D0480" w:rsidRDefault="00536A96" w:rsidP="00536A96">
      <w:pPr>
        <w:jc w:val="both"/>
        <w:rPr>
          <w:b/>
          <w:i/>
          <w:iCs/>
          <w:sz w:val="24"/>
          <w:szCs w:val="24"/>
        </w:rPr>
      </w:pPr>
      <w:r>
        <w:rPr>
          <w:color w:val="000000" w:themeColor="text1"/>
          <w:sz w:val="24"/>
          <w:szCs w:val="24"/>
          <w:lang w:val="kk-KZ"/>
        </w:rPr>
        <w:t xml:space="preserve">          </w:t>
      </w:r>
      <w:r w:rsidRPr="004D0480">
        <w:rPr>
          <w:sz w:val="24"/>
          <w:szCs w:val="24"/>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r>
        <w:rPr>
          <w:sz w:val="24"/>
          <w:szCs w:val="24"/>
          <w:lang w:val="kk-KZ"/>
        </w:rPr>
        <w:t xml:space="preserve"> </w:t>
      </w:r>
      <w:r w:rsidR="00575EA0"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575EA0" w:rsidRPr="004D0480">
        <w:rPr>
          <w:sz w:val="24"/>
          <w:szCs w:val="24"/>
        </w:rPr>
        <w:t>маслихатов</w:t>
      </w:r>
      <w:proofErr w:type="spellEnd"/>
      <w:r w:rsidR="00575EA0"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00575EA0" w:rsidRPr="004D0480">
        <w:rPr>
          <w:sz w:val="24"/>
          <w:szCs w:val="24"/>
        </w:rPr>
        <w:lastRenderedPageBreak/>
        <w:t>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4A12BD">
        <w:rPr>
          <w:sz w:val="24"/>
          <w:szCs w:val="24"/>
          <w:lang w:val="kk-KZ"/>
        </w:rPr>
        <w:t>проспект Победы 11</w:t>
      </w:r>
      <w:bookmarkStart w:id="1" w:name="_GoBack"/>
      <w:bookmarkEnd w:id="1"/>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CB7BF9">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7"/>
  </w:num>
  <w:num w:numId="3">
    <w:abstractNumId w:val="8"/>
  </w:num>
  <w:num w:numId="4">
    <w:abstractNumId w:val="4"/>
  </w:num>
  <w:num w:numId="5">
    <w:abstractNumId w:val="13"/>
  </w:num>
  <w:num w:numId="6">
    <w:abstractNumId w:val="9"/>
  </w:num>
  <w:num w:numId="7">
    <w:abstractNumId w:val="10"/>
  </w:num>
  <w:num w:numId="8">
    <w:abstractNumId w:val="11"/>
  </w:num>
  <w:num w:numId="9">
    <w:abstractNumId w:val="2"/>
  </w:num>
  <w:num w:numId="10">
    <w:abstractNumId w:val="15"/>
  </w:num>
  <w:num w:numId="11">
    <w:abstractNumId w:val="12"/>
  </w:num>
  <w:num w:numId="12">
    <w:abstractNumId w:val="3"/>
  </w:num>
  <w:num w:numId="13">
    <w:abstractNumId w:val="0"/>
  </w:num>
  <w:num w:numId="14">
    <w:abstractNumId w:val="1"/>
  </w:num>
  <w:num w:numId="15">
    <w:abstractNumId w:val="16"/>
  </w:num>
  <w:num w:numId="16">
    <w:abstractNumId w:val="5"/>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2BD"/>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A96"/>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B7BF9"/>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4744-3246-4D77-A89F-C63EC4B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2017-06-15T03:06:00Z</cp:lastPrinted>
  <dcterms:created xsi:type="dcterms:W3CDTF">2017-07-12T03:04:00Z</dcterms:created>
  <dcterms:modified xsi:type="dcterms:W3CDTF">2017-08-03T04:18:00Z</dcterms:modified>
</cp:coreProperties>
</file>