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C52B6C">
        <w:rPr>
          <w:rFonts w:ascii="Times New Roman" w:eastAsia="Times New Roman" w:hAnsi="Times New Roman" w:cs="Times New Roman"/>
          <w:bCs w:val="0"/>
          <w:i w:val="0"/>
          <w:iCs w:val="0"/>
          <w:color w:val="auto"/>
          <w:sz w:val="28"/>
          <w:szCs w:val="28"/>
          <w:lang w:val="kk-KZ"/>
        </w:rPr>
        <w:t xml:space="preserve">барлық </w:t>
      </w:r>
      <w:r w:rsidRPr="00881A0A">
        <w:rPr>
          <w:rFonts w:ascii="Times New Roman" w:eastAsia="Times New Roman" w:hAnsi="Times New Roman" w:cs="Times New Roman"/>
          <w:bCs w:val="0"/>
          <w:i w:val="0"/>
          <w:iCs w:val="0"/>
          <w:color w:val="auto"/>
          <w:sz w:val="28"/>
          <w:szCs w:val="28"/>
          <w:lang w:val="kk-KZ"/>
        </w:rPr>
        <w:t>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A51607" w:rsidRDefault="00881A0A" w:rsidP="008B562D">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8B562D">
        <w:rPr>
          <w:b/>
          <w:sz w:val="24"/>
          <w:szCs w:val="24"/>
          <w:lang w:val="kk-KZ"/>
        </w:rPr>
        <w:t>Бейбітшілік көшесі</w:t>
      </w:r>
      <w:r w:rsidRPr="00E30650">
        <w:rPr>
          <w:b/>
          <w:sz w:val="24"/>
          <w:szCs w:val="24"/>
          <w:lang w:val="kk-KZ"/>
        </w:rPr>
        <w:t xml:space="preserve"> 1</w:t>
      </w:r>
      <w:r w:rsidR="008B562D">
        <w:rPr>
          <w:b/>
          <w:sz w:val="24"/>
          <w:szCs w:val="24"/>
          <w:lang w:val="kk-KZ"/>
        </w:rPr>
        <w:t>0</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p>
    <w:p w:rsidR="00EE4371" w:rsidRDefault="003B21BC" w:rsidP="00EE4371">
      <w:pPr>
        <w:pStyle w:val="af"/>
        <w:spacing w:before="0" w:beforeAutospacing="0" w:after="0" w:afterAutospacing="0"/>
        <w:ind w:firstLine="709"/>
        <w:jc w:val="both"/>
        <w:rPr>
          <w:b/>
          <w:lang w:val="kk-KZ"/>
        </w:rPr>
      </w:pPr>
      <w:hyperlink r:id="rId7" w:history="1">
        <w:r w:rsidR="00EE4371" w:rsidRPr="00EE4371">
          <w:rPr>
            <w:rStyle w:val="a4"/>
            <w:b/>
            <w:lang w:val="kk-KZ"/>
          </w:rPr>
          <w:t>e.gafiyatulina@kgd.gov.kz</w:t>
        </w:r>
      </w:hyperlink>
    </w:p>
    <w:p w:rsidR="00A51607" w:rsidRPr="008B562D" w:rsidRDefault="00A51607" w:rsidP="00A51607">
      <w:pPr>
        <w:shd w:val="clear" w:color="auto" w:fill="FFFFFF"/>
        <w:jc w:val="both"/>
        <w:rPr>
          <w:b/>
          <w:sz w:val="24"/>
          <w:szCs w:val="24"/>
          <w:lang w:val="kk-KZ"/>
        </w:rPr>
      </w:pP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C52B6C" w:rsidRDefault="00C52B6C" w:rsidP="00B33046">
      <w:pPr>
        <w:tabs>
          <w:tab w:val="left" w:pos="-1405"/>
          <w:tab w:val="left" w:pos="9554"/>
        </w:tabs>
        <w:ind w:left="-1405" w:right="266" w:firstLine="1972"/>
        <w:jc w:val="center"/>
        <w:outlineLvl w:val="0"/>
        <w:rPr>
          <w:sz w:val="24"/>
          <w:szCs w:val="24"/>
          <w:lang w:val="kk-KZ"/>
        </w:rPr>
      </w:pPr>
    </w:p>
    <w:p w:rsidR="00C52B6C" w:rsidRDefault="00C52B6C" w:rsidP="00B33046">
      <w:pPr>
        <w:tabs>
          <w:tab w:val="left" w:pos="-1405"/>
          <w:tab w:val="left" w:pos="9554"/>
        </w:tabs>
        <w:ind w:left="-1405" w:right="266" w:firstLine="1972"/>
        <w:jc w:val="center"/>
        <w:outlineLvl w:val="0"/>
        <w:rPr>
          <w:sz w:val="24"/>
          <w:szCs w:val="24"/>
          <w:lang w:val="kk-KZ"/>
        </w:rPr>
      </w:pPr>
    </w:p>
    <w:p w:rsidR="00C52B6C" w:rsidRDefault="00C52B6C" w:rsidP="00B33046">
      <w:pPr>
        <w:tabs>
          <w:tab w:val="left" w:pos="-1405"/>
          <w:tab w:val="left" w:pos="9554"/>
        </w:tabs>
        <w:ind w:left="-1405" w:right="266" w:firstLine="1972"/>
        <w:jc w:val="center"/>
        <w:outlineLvl w:val="0"/>
        <w:rPr>
          <w:sz w:val="24"/>
          <w:szCs w:val="24"/>
          <w:lang w:val="kk-KZ"/>
        </w:rPr>
      </w:pPr>
    </w:p>
    <w:p w:rsidR="003B21BC" w:rsidRDefault="003B21BC" w:rsidP="00B33046">
      <w:pPr>
        <w:tabs>
          <w:tab w:val="left" w:pos="-1405"/>
          <w:tab w:val="left" w:pos="9554"/>
        </w:tabs>
        <w:ind w:left="-1405" w:right="266" w:firstLine="1972"/>
        <w:jc w:val="center"/>
        <w:outlineLvl w:val="0"/>
        <w:rPr>
          <w:sz w:val="24"/>
          <w:szCs w:val="24"/>
          <w:lang w:val="kk-KZ"/>
        </w:rPr>
      </w:pPr>
      <w:bookmarkStart w:id="0" w:name="_GoBack"/>
      <w:bookmarkEnd w:id="0"/>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lastRenderedPageBreak/>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C359E0"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B3304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C359E0" w:rsidRPr="005966E3" w:rsidRDefault="00C359E0" w:rsidP="00B3304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C359E0" w:rsidRPr="00C359E0" w:rsidRDefault="00C359E0" w:rsidP="00B3304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F2261C" w:rsidRPr="00F2261C" w:rsidRDefault="00F2261C" w:rsidP="00C52B6C">
      <w:pPr>
        <w:pStyle w:val="af4"/>
        <w:shd w:val="clear" w:color="auto" w:fill="FFFFFF"/>
        <w:ind w:left="1068"/>
        <w:jc w:val="both"/>
        <w:rPr>
          <w:b/>
          <w:sz w:val="24"/>
          <w:szCs w:val="24"/>
          <w:lang w:val="kk-KZ"/>
        </w:rPr>
      </w:pPr>
      <w:r w:rsidRPr="00F2261C">
        <w:rPr>
          <w:b/>
          <w:sz w:val="24"/>
          <w:szCs w:val="24"/>
          <w:lang w:val="kk-KZ"/>
        </w:rPr>
        <w:t xml:space="preserve">Салық салу әдіснама департаментінің </w:t>
      </w:r>
      <w:r w:rsidRPr="00DC1D2B">
        <w:rPr>
          <w:b/>
          <w:sz w:val="24"/>
          <w:szCs w:val="24"/>
          <w:lang w:val="kk-KZ"/>
        </w:rPr>
        <w:t xml:space="preserve">Өндірістік емес төлемдер </w:t>
      </w:r>
      <w:r>
        <w:rPr>
          <w:b/>
          <w:sz w:val="24"/>
          <w:szCs w:val="24"/>
          <w:lang w:val="kk-KZ"/>
        </w:rPr>
        <w:t>басқармасы</w:t>
      </w:r>
      <w:r w:rsidRPr="00F2261C">
        <w:rPr>
          <w:rFonts w:eastAsia="Calibri"/>
          <w:b/>
          <w:sz w:val="24"/>
          <w:szCs w:val="24"/>
          <w:lang w:val="kk-KZ" w:eastAsia="ko-KR"/>
        </w:rPr>
        <w:t>ның бас сарапшысы</w:t>
      </w:r>
      <w:r w:rsidRPr="00F2261C">
        <w:rPr>
          <w:b/>
          <w:sz w:val="24"/>
          <w:szCs w:val="24"/>
          <w:lang w:val="kk-KZ"/>
        </w:rPr>
        <w:t xml:space="preserve">, С-4 санаты, </w:t>
      </w:r>
      <w:r>
        <w:rPr>
          <w:b/>
          <w:sz w:val="24"/>
          <w:szCs w:val="24"/>
          <w:lang w:val="kk-KZ"/>
        </w:rPr>
        <w:t>1</w:t>
      </w:r>
      <w:r w:rsidRPr="00F2261C">
        <w:rPr>
          <w:b/>
          <w:sz w:val="24"/>
          <w:szCs w:val="24"/>
          <w:lang w:val="kk-KZ"/>
        </w:rPr>
        <w:t xml:space="preserve"> бірлік</w:t>
      </w:r>
    </w:p>
    <w:p w:rsidR="00F2261C" w:rsidRDefault="00F2261C" w:rsidP="00F2261C">
      <w:pPr>
        <w:ind w:firstLine="360"/>
        <w:jc w:val="both"/>
        <w:rPr>
          <w:rFonts w:eastAsia="Calibri"/>
          <w:sz w:val="24"/>
          <w:szCs w:val="24"/>
          <w:lang w:val="kk-KZ" w:eastAsia="en-US"/>
        </w:rPr>
      </w:pPr>
      <w:r w:rsidRPr="001A41DB">
        <w:rPr>
          <w:szCs w:val="20"/>
          <w:lang w:val="kk-KZ"/>
        </w:rPr>
        <w:t xml:space="preserve">     </w:t>
      </w:r>
      <w:r w:rsidRPr="00301058">
        <w:rPr>
          <w:b/>
          <w:sz w:val="24"/>
          <w:szCs w:val="24"/>
          <w:lang w:val="kk-KZ"/>
        </w:rPr>
        <w:t xml:space="preserve">Функционалдық міндеттері: </w:t>
      </w:r>
      <w:r w:rsidRPr="00DC1D2B">
        <w:rPr>
          <w:rFonts w:eastAsia="Calibri"/>
          <w:sz w:val="24"/>
          <w:szCs w:val="24"/>
          <w:lang w:val="kk-KZ" w:eastAsia="en-US"/>
        </w:rPr>
        <w:t>Заңды тұлғалардың көлік құралдары салығын, заңды тұлғалардың және жеке кәсіпкерлердің жер салығын, заңды тұлғалардың және жеке кәсіпкерлердің жер салығын мүлік салығын, ойын бизнесі салығын, тіркелген салықты,</w:t>
      </w:r>
      <w:r w:rsidRPr="00F2261C">
        <w:rPr>
          <w:lang w:val="kk-KZ"/>
        </w:rPr>
        <w:t xml:space="preserve"> </w:t>
      </w:r>
      <w:r w:rsidRPr="00DC1D2B">
        <w:rPr>
          <w:rFonts w:eastAsia="Calibri"/>
          <w:sz w:val="24"/>
          <w:szCs w:val="24"/>
          <w:lang w:val="kk-KZ" w:eastAsia="en-US"/>
        </w:rPr>
        <w:t xml:space="preserve">бірыңғай жер салығын,  арнаулы салық режимін және бюджетке төленетін басқа да міндетті төлемдерді есептеу және төлеу тәртібі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 заңды тұлғалардың көлік құралдары салығын, заңды тұлғалардың және жеке кәсіпкерлердің жер салығын, заңды тұлғалардың және жеке кәсіпкерлердің жер салығын мүлік салығын, ойын бизнесі салығын, тіркелген салықты, бірыңғай жер салығын, арнаулы салық режимдерін және бюджетке төленетін басқа да міндетті төлемдерді әкімшілендіру; уәкілетті мемлекеттік органдар мен жергілікті атқарушы органдардың бақылауды жүзеге асыру; құзыреті бойынша салық есептілігі нысандарын әзірлеу. </w:t>
      </w:r>
    </w:p>
    <w:p w:rsidR="00F2261C" w:rsidRDefault="00F2261C" w:rsidP="00F2261C">
      <w:pPr>
        <w:ind w:firstLine="360"/>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DC1D2B">
        <w:rPr>
          <w:sz w:val="24"/>
          <w:szCs w:val="24"/>
          <w:lang w:val="kk-KZ"/>
        </w:rPr>
        <w:t>әлеуметтік ғылымдар, экономика және бизнес немесе құқық</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8"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KZ Times New Roman" w:hAnsi="KZ Times New Roman"/>
          <w:sz w:val="24"/>
          <w:szCs w:val="24"/>
          <w:lang w:val="kk-KZ"/>
        </w:rPr>
        <w:t>Салы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w:t>
      </w:r>
      <w:r>
        <w:rPr>
          <w:rFonts w:ascii="KZ Times New Roman" w:hAnsi="KZ Times New Roman" w:cs="Calibri"/>
          <w:sz w:val="24"/>
          <w:szCs w:val="24"/>
          <w:lang w:val="kk-KZ"/>
        </w:rPr>
        <w:t>с</w:t>
      </w:r>
      <w:r w:rsidRPr="00DC1D2B">
        <w:rPr>
          <w:rFonts w:ascii="KZ Times New Roman" w:hAnsi="KZ Times New Roman" w:cs="Calibri"/>
          <w:sz w:val="24"/>
          <w:szCs w:val="24"/>
          <w:lang w:val="kk-KZ"/>
        </w:rPr>
        <w:t>ын білген жөн.</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F2261C" w:rsidRDefault="00F2261C" w:rsidP="001D7533">
      <w:pPr>
        <w:ind w:firstLine="360"/>
        <w:jc w:val="both"/>
        <w:rPr>
          <w:rFonts w:ascii="KZ Times New Roman" w:hAnsi="KZ Times New Roman"/>
          <w:bCs/>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lastRenderedPageBreak/>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661A09" w:rsidRPr="00661A09">
        <w:rPr>
          <w:sz w:val="24"/>
          <w:szCs w:val="24"/>
          <w:lang w:val="kk-KZ"/>
        </w:rPr>
        <w:t>Бейбітшілік көшесі 10,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Pr="005D3D6F"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359E0" w:rsidRDefault="00C359E0"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C52B6C" w:rsidRDefault="00C52B6C" w:rsidP="004811E2">
      <w:pPr>
        <w:spacing w:before="100" w:beforeAutospacing="1" w:after="100" w:afterAutospacing="1"/>
        <w:ind w:left="5664"/>
        <w:jc w:val="center"/>
        <w:rPr>
          <w:lang w:val="kk-KZ"/>
        </w:rPr>
      </w:pPr>
    </w:p>
    <w:p w:rsidR="00C52B6C" w:rsidRDefault="00C52B6C" w:rsidP="004811E2">
      <w:pPr>
        <w:spacing w:before="100" w:beforeAutospacing="1" w:after="100" w:afterAutospacing="1"/>
        <w:ind w:left="5664"/>
        <w:jc w:val="center"/>
        <w:rPr>
          <w:lang w:val="kk-KZ"/>
        </w:rPr>
      </w:pPr>
    </w:p>
    <w:p w:rsidR="00C52B6C" w:rsidRDefault="00C52B6C" w:rsidP="004811E2">
      <w:pPr>
        <w:spacing w:before="100" w:beforeAutospacing="1" w:after="100" w:afterAutospacing="1"/>
        <w:ind w:left="5664"/>
        <w:jc w:val="center"/>
        <w:rPr>
          <w:lang w:val="kk-KZ"/>
        </w:rPr>
      </w:pPr>
    </w:p>
    <w:p w:rsidR="00C52B6C" w:rsidRDefault="00C52B6C" w:rsidP="004811E2">
      <w:pPr>
        <w:spacing w:before="100" w:beforeAutospacing="1" w:after="100" w:afterAutospacing="1"/>
        <w:ind w:left="5664"/>
        <w:jc w:val="center"/>
        <w:rPr>
          <w:lang w:val="kk-KZ"/>
        </w:rPr>
      </w:pPr>
    </w:p>
    <w:p w:rsidR="00451379" w:rsidRDefault="00451379" w:rsidP="004811E2">
      <w:pPr>
        <w:spacing w:before="100" w:beforeAutospacing="1" w:after="100" w:afterAutospacing="1"/>
        <w:ind w:left="5664"/>
        <w:jc w:val="center"/>
        <w:rPr>
          <w:lang w:val="kk-KZ"/>
        </w:rPr>
      </w:pPr>
    </w:p>
    <w:p w:rsidR="00C359E0" w:rsidRDefault="00C359E0"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2"/>
  </w:num>
  <w:num w:numId="3">
    <w:abstractNumId w:val="3"/>
  </w:num>
  <w:num w:numId="4">
    <w:abstractNumId w:val="0"/>
  </w:num>
  <w:num w:numId="5">
    <w:abstractNumId w:val="8"/>
  </w:num>
  <w:num w:numId="6">
    <w:abstractNumId w:val="4"/>
  </w:num>
  <w:num w:numId="7">
    <w:abstractNumId w:val="1"/>
  </w:num>
  <w:num w:numId="8">
    <w:abstractNumId w:val="5"/>
  </w:num>
  <w:num w:numId="9">
    <w:abstractNumId w:val="7"/>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20D6"/>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3B6F"/>
    <w:rsid w:val="000E7FD0"/>
    <w:rsid w:val="000F05A7"/>
    <w:rsid w:val="000F0EC2"/>
    <w:rsid w:val="000F1271"/>
    <w:rsid w:val="000F2B26"/>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12EA"/>
    <w:rsid w:val="001B210B"/>
    <w:rsid w:val="001B2171"/>
    <w:rsid w:val="001B6BEA"/>
    <w:rsid w:val="001B74EA"/>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21B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1379"/>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006"/>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B6C"/>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87402"/>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371"/>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AAD9-8162-418A-A8CE-78C21ACF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1594</Words>
  <Characters>9091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6</cp:revision>
  <cp:lastPrinted>2016-12-14T12:39:00Z</cp:lastPrinted>
  <dcterms:created xsi:type="dcterms:W3CDTF">2017-06-08T12:57:00Z</dcterms:created>
  <dcterms:modified xsi:type="dcterms:W3CDTF">2017-06-08T13:06:00Z</dcterms:modified>
</cp:coreProperties>
</file>