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04" w:rsidRPr="00E92DE0" w:rsidRDefault="00E92DE0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Мемлекеттік</w:t>
      </w:r>
      <w:proofErr w:type="spellEnd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қолдау</w:t>
      </w:r>
      <w:proofErr w:type="spellEnd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шараларын</w:t>
      </w:r>
      <w:proofErr w:type="spellEnd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алу</w:t>
      </w:r>
      <w:proofErr w:type="spellEnd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үшін</w:t>
      </w:r>
      <w:proofErr w:type="spellEnd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мемлекеттік</w:t>
      </w:r>
      <w:proofErr w:type="spellEnd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органға</w:t>
      </w:r>
      <w:proofErr w:type="spellEnd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ЭШФ </w:t>
      </w:r>
      <w:proofErr w:type="spellStart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жіберу</w:t>
      </w:r>
      <w:proofErr w:type="spellEnd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бойынша</w:t>
      </w:r>
      <w:proofErr w:type="spellEnd"/>
    </w:p>
    <w:p w:rsidR="00F51E04" w:rsidRPr="00E92DE0" w:rsidRDefault="00E92D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Нұсқаулық</w:t>
      </w:r>
      <w:proofErr w:type="spellEnd"/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ЭШФ АЖ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шот-фактуралар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журналында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органдардың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жүйелеріне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мүмкіндігі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іске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асырылды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Шот-фактураны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жөнелтуге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жеткізуші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салық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төлеуші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де,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алушы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салық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төлеуші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бастамашы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бола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Таңдалған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контрагентті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растауға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бағытталады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олармен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ТІЖ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жөнелту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басталғаннан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АЖ-мен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бұғатталады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МҚҚ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қызметкерлерінен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органдар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жүйесіне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талап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етілмейді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Контрагент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растағаннан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таңдалған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органға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жіберілетін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бола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Егер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контрагент МО АЖ-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жіберуден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тартқан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ТІЖ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құлпы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ашылады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Қаралмаған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Жеткізілген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мәртебелерінде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қолжетімді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Егер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ТІЖ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негізінде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жазып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берілген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болса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ТІЖ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талған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болуы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тиіс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Негізгі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түзетілген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қосымша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кезінде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онымен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қолданыстағы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шот-фактуралардың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барлық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тізбегі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органның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жүйесіне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бағытталатын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қолдау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шараларын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асыратын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бұрын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рілген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шот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-фактура,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егер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субсидия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төлем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бұрын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алынбаған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болса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қолдау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шараларын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асыратын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басқа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органның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АЖ-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жіберілуі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мүмкін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Жөнелтуге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сұраулар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өзекті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жөнелт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журналында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қадағалауға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Осы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журналға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көшу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шот-фактуралар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журналынан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асырылады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ЭШФ-ны МО АЖ-ға жіберуге бастамашылық ету</w:t>
      </w:r>
    </w:p>
    <w:p w:rsidR="00F51E04" w:rsidRPr="00E92DE0" w:rsidRDefault="00E92DE0">
      <w:pPr>
        <w:pStyle w:val="ab"/>
        <w:keepNext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органның ақпараттық жүйесіне электрондық шот-фактураларды жіберу үшін «Қаралмаған», «Жеткізіл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ген» мәртебелерінде бір немесе бірнеше ЭШФ таңдау қажет. Жіберуші жеткізуші де, алушы да бола алады. ТІЖ негізінде жазып берілген ЭШФ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таңдаған жағдайда, байланысты ТІЖ мәртебесі «Расталған» болуы тиіс. ЭШФ таңдалғаннан кейін басу үшін «ЭШФ-ны МО-ға жіберу»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батырмасы қолжетімді болады. </w:t>
      </w:r>
    </w:p>
    <w:p w:rsidR="00F51E04" w:rsidRPr="00E92DE0" w:rsidRDefault="00F51E04">
      <w:pPr>
        <w:pStyle w:val="ab"/>
        <w:keepNext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51E04" w:rsidRPr="00E92DE0" w:rsidRDefault="00E92DE0">
      <w:pPr>
        <w:pStyle w:val="ab"/>
        <w:keepNext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noProof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0605" cy="296481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E04" w:rsidRPr="00E92DE0" w:rsidRDefault="00E92DE0">
      <w:pPr>
        <w:pStyle w:val="a8"/>
        <w:ind w:firstLine="426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4"/>
        </w:rPr>
      </w:pPr>
      <w:r w:rsidRPr="00E92DE0">
        <w:rPr>
          <w:rFonts w:ascii="Times New Roman" w:hAnsi="Times New Roman" w:cs="Times New Roman"/>
          <w:i w:val="0"/>
          <w:color w:val="000000" w:themeColor="text1"/>
          <w:sz w:val="22"/>
          <w:szCs w:val="24"/>
          <w:lang w:val="kk-KZ"/>
        </w:rPr>
        <w:t>1-сурет</w:t>
      </w:r>
      <w:r w:rsidRPr="00E92DE0">
        <w:rPr>
          <w:rFonts w:ascii="Times New Roman" w:hAnsi="Times New Roman" w:cs="Times New Roman"/>
          <w:i w:val="0"/>
          <w:color w:val="000000" w:themeColor="text1"/>
          <w:sz w:val="22"/>
          <w:szCs w:val="24"/>
        </w:rPr>
        <w:t xml:space="preserve"> – </w:t>
      </w:r>
      <w:r w:rsidRPr="00E92DE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  <w:t>ЭШФ-ны МО-ға жіберу</w:t>
      </w:r>
    </w:p>
    <w:p w:rsidR="00F51E04" w:rsidRPr="00E92DE0" w:rsidRDefault="00E92DE0">
      <w:pPr>
        <w:pStyle w:val="a8"/>
        <w:keepNext/>
        <w:ind w:firstLine="42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kk-KZ"/>
        </w:rPr>
        <w:t>2) "ЭШФ-ты МО-ға жіберу" батырмасын басқаннан кейін ЭШФ бұғатталатыны және оларды қайтарып алуға, қосымша/түзетілген ЭШФ/ТІЖ жазып беруді жүзеге асыруға болмайтыны туралы ескерту пайда болады,</w:t>
      </w:r>
      <w:r w:rsidRPr="00E92DE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kk-KZ"/>
        </w:rPr>
        <w:t xml:space="preserve"> танысқаннан кейін "Жабу"батырмасын басыңыз.</w:t>
      </w:r>
    </w:p>
    <w:p w:rsidR="00F51E04" w:rsidRPr="00E92DE0" w:rsidRDefault="00E92DE0">
      <w:pPr>
        <w:pStyle w:val="a8"/>
        <w:keepNext/>
        <w:jc w:val="center"/>
        <w:rPr>
          <w:rFonts w:ascii="Times New Roman" w:hAnsi="Times New Roman" w:cs="Times New Roman"/>
          <w:i w:val="0"/>
          <w:color w:val="000000" w:themeColor="text1"/>
        </w:rPr>
      </w:pPr>
      <w:bookmarkStart w:id="0" w:name="_GoBack"/>
      <w:r w:rsidRPr="00E92DE0">
        <w:rPr>
          <w:noProof/>
        </w:rPr>
        <w:drawing>
          <wp:inline distT="0" distB="0" distL="0" distR="0">
            <wp:extent cx="3634740" cy="287972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1E04" w:rsidRPr="00E92DE0" w:rsidRDefault="00E92DE0">
      <w:pPr>
        <w:ind w:left="29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iCs/>
          <w:color w:val="000000" w:themeColor="text1"/>
          <w:szCs w:val="20"/>
          <w:lang w:val="kk-KZ"/>
        </w:rPr>
        <w:t>2-сурет-жіберуді растау</w:t>
      </w:r>
    </w:p>
    <w:p w:rsidR="00F51E04" w:rsidRPr="00E92DE0" w:rsidRDefault="00F51E04">
      <w:pPr>
        <w:pStyle w:val="ab"/>
        <w:ind w:left="33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3) Диалогтық терезеде таңдалған ЭШФ, сондай-ақ олармен жұмыс істейтін ЭШФ көрсетіледі. Тізімнен мемлекеттік органды таңдаңыз. ЭШФ және Мемлекеттік орган таңдалғаннан кейін "Жіберу" бат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ырмасын басыңыз.</w:t>
      </w:r>
    </w:p>
    <w:p w:rsidR="00F51E04" w:rsidRPr="00E92DE0" w:rsidRDefault="00E92D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noProof/>
        </w:rPr>
        <w:lastRenderedPageBreak/>
        <w:drawing>
          <wp:inline distT="0" distB="0" distL="0" distR="0">
            <wp:extent cx="3667760" cy="2879725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04" w:rsidRPr="00E92DE0" w:rsidRDefault="00E92DE0">
      <w:pPr>
        <w:pStyle w:val="ab"/>
        <w:ind w:left="0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3-сурет-сұрау салу мәліметтерін толтыру</w:t>
      </w:r>
    </w:p>
    <w:p w:rsidR="00F51E04" w:rsidRPr="00E92DE0" w:rsidRDefault="00F51E04">
      <w:pPr>
        <w:pStyle w:val="ab"/>
        <w:ind w:left="0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51E04" w:rsidRPr="00E92DE0" w:rsidRDefault="00E92DE0">
      <w:pPr>
        <w:pStyle w:val="ab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4) бұдан әрі іс-әрекетке электрондық-цифрлық қолтаңбамен қол қою қажет. "Қол қою" батырмасын басыңыз, содан кейін сертификатты таңдау терезесі пайда болады. Қолтаңба сертификатын таңдау керек.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Содан кейін ПИН кодын енгізіп, "қол қою"түймесін басыңыз. Таңдалған ЭШФ және олармен байланысты ТІЖ "ЭШФ АЖ бұғатталған" мәртебесіне ауысады және оларды кері қайтарып алуға, қосымша/түзетілген ЭШФ/ТІЖ жазып беруді жүзеге асыруға болмайды. Сұрау контрагентк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 келісу үшін жіберілді. ЭШФ және онымен байланысты ТІЖ бұғатталған.</w:t>
      </w:r>
    </w:p>
    <w:p w:rsidR="00F51E04" w:rsidRPr="00E92DE0" w:rsidRDefault="00F51E04">
      <w:pPr>
        <w:pStyle w:val="ab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51E04" w:rsidRPr="00E92DE0" w:rsidRDefault="00E92DE0">
      <w:pPr>
        <w:pStyle w:val="ab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ЭШФ-ны МО АЖ-ға жіберуді растау</w:t>
      </w:r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Бастамашы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салық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төлеуші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салғаннан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ол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екінші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тарапқа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жіберіледі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51E04" w:rsidRPr="00E92DE0" w:rsidRDefault="00E92DE0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ЭШФ АЖ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жүйесіне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кірген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кезде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контрагентте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санам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аланған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органға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жөнелтуді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талабы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хабарлама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пайда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 ЭШФ-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тіркеу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нөмірін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басу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көруге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Басу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деректерін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көру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браузерде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қосымша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парақ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ашылады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04" w:rsidRPr="00E92DE0" w:rsidRDefault="00E92DE0">
      <w:pPr>
        <w:keepNext/>
        <w:jc w:val="center"/>
        <w:rPr>
          <w:rFonts w:ascii="Times New Roman" w:hAnsi="Times New Roman" w:cs="Times New Roman"/>
          <w:color w:val="000000" w:themeColor="text1"/>
        </w:rPr>
      </w:pPr>
      <w:r w:rsidRPr="00E92DE0">
        <w:rPr>
          <w:noProof/>
        </w:rPr>
        <w:drawing>
          <wp:inline distT="0" distB="0" distL="0" distR="0">
            <wp:extent cx="3138170" cy="24301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04" w:rsidRPr="00E92DE0" w:rsidRDefault="00E92DE0">
      <w:pPr>
        <w:pStyle w:val="a8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4"/>
        </w:rPr>
      </w:pPr>
      <w:r w:rsidRPr="00E92DE0">
        <w:rPr>
          <w:rFonts w:ascii="Times New Roman" w:hAnsi="Times New Roman" w:cs="Times New Roman"/>
          <w:i w:val="0"/>
          <w:color w:val="000000" w:themeColor="text1"/>
          <w:sz w:val="20"/>
          <w:lang w:val="kk-KZ"/>
        </w:rPr>
        <w:t>3-сурет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</w:rPr>
        <w:t xml:space="preserve"> – 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lang w:val="kk-KZ"/>
        </w:rPr>
        <w:t>растау/қабылдамау қажеттілігі туралы хабарлама</w:t>
      </w:r>
    </w:p>
    <w:p w:rsidR="00F51E04" w:rsidRPr="00E92DE0" w:rsidRDefault="00E92DE0">
      <w:pPr>
        <w:pStyle w:val="ab"/>
        <w:keepNext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растау үшін "растау" түймесін басыңыз, содан кейін ЭШФ бұғатталатыны туралы ескерту пайда болады, "жабу"түймесін басыңыз. Таңдалған ЭШФ және олармен байланысты ТІЖ "ЭШФ АЖ бұғатталған" мәртебесінде болады және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оларды кері қайтарып алуға, қосымша/түзетілген ЭШФ/ТІЖ жазып беруді жүзеге асыруға болмайды.</w:t>
      </w:r>
    </w:p>
    <w:p w:rsidR="00F51E04" w:rsidRPr="00E92DE0" w:rsidRDefault="00E92DE0">
      <w:pPr>
        <w:pStyle w:val="ab"/>
        <w:keepNext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E92DE0">
        <w:rPr>
          <w:noProof/>
        </w:rPr>
        <w:drawing>
          <wp:inline distT="0" distB="0" distL="0" distR="0">
            <wp:extent cx="3442335" cy="280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04" w:rsidRPr="00E92DE0" w:rsidRDefault="00E92DE0">
      <w:pPr>
        <w:pStyle w:val="a8"/>
        <w:jc w:val="center"/>
        <w:rPr>
          <w:rFonts w:ascii="Times New Roman" w:hAnsi="Times New Roman" w:cs="Times New Roman"/>
          <w:i w:val="0"/>
          <w:color w:val="000000" w:themeColor="text1"/>
          <w:sz w:val="20"/>
          <w:lang w:val="kk-KZ"/>
        </w:rPr>
      </w:pPr>
      <w:r w:rsidRPr="00E92DE0">
        <w:rPr>
          <w:rFonts w:ascii="Times New Roman" w:hAnsi="Times New Roman" w:cs="Times New Roman"/>
          <w:i w:val="0"/>
          <w:color w:val="000000" w:themeColor="text1"/>
          <w:sz w:val="20"/>
          <w:lang w:val="kk-KZ"/>
        </w:rPr>
        <w:t>4-сурет – жіберуді растау</w:t>
      </w:r>
    </w:p>
    <w:p w:rsidR="00F51E04" w:rsidRPr="00E92DE0" w:rsidRDefault="00F51E04">
      <w:pPr>
        <w:rPr>
          <w:rFonts w:ascii="Times New Roman" w:hAnsi="Times New Roman" w:cs="Times New Roman"/>
          <w:lang w:val="kk-KZ"/>
        </w:rPr>
      </w:pPr>
    </w:p>
    <w:p w:rsidR="00F51E04" w:rsidRPr="00E92DE0" w:rsidRDefault="00E92DE0">
      <w:pPr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3) Бұдан әрі «Жіберу» батырмасын басыңыз және электрондық-цифрлық қолтаңбамен әрекетке қол қойыңыз. «Қол қою» батырмасын басыңыз, сод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ан кейін сертификатты таңдау үшін терезе пайда болады. Қолтаңба сертификатын таңдау керек. Содан кейін пин-кодты енгізіп, «Қол қою» батырмасын басыңыз. ЭШФ МО АЖ жіберілді.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ЭШФ МО АЖ жіберілді. МҚК қызметкерінен растау талап етілмейді.</w:t>
      </w:r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МО АЖ-ға жіберуді қа</w:t>
      </w:r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былдамау</w:t>
      </w:r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Бастамашы салық төлеуші сұрауды қалыптастырғаннан кейін ол екінші тарапқа растау немесе қабылдамау үшін жіберіледі. </w:t>
      </w:r>
    </w:p>
    <w:p w:rsidR="00F51E04" w:rsidRPr="00E92DE0" w:rsidRDefault="00E92DE0">
      <w:pPr>
        <w:pStyle w:val="a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ЭШФ АЖ жүйесіне кірген кезде контрагентте санамаланған ЭШФ-ны мемлекеттік органға жөнелтуді растау немесе қабылдамау талабы бар хабарлама пайда болады. ЭШФ-ны ЭШФ тіркеу нөмірін басу арқылы көруге болады. Басу арқылы ЭШФ деректерін көру үшін браузерде қосы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мша парақ ашылады. </w:t>
      </w:r>
    </w:p>
    <w:p w:rsidR="00F51E04" w:rsidRPr="00E92DE0" w:rsidRDefault="00F51E04">
      <w:pPr>
        <w:pStyle w:val="ab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51E04" w:rsidRPr="00E92DE0" w:rsidRDefault="00E92DE0">
      <w:pPr>
        <w:pStyle w:val="ab"/>
        <w:keepNext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E92DE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783840" cy="1760855"/>
            <wp:effectExtent l="0" t="0" r="0" b="0"/>
            <wp:docPr id="6" name="Рисунок 4 Коп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 Копия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04" w:rsidRPr="00E92DE0" w:rsidRDefault="00E92DE0">
      <w:pPr>
        <w:pStyle w:val="a8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5-сурет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сұрау салуды растау/қабылдамау қажеттігі туралы хабарлама</w:t>
      </w:r>
    </w:p>
    <w:p w:rsidR="00F51E04" w:rsidRPr="00E92DE0" w:rsidRDefault="00E92DE0">
      <w:pPr>
        <w:pStyle w:val="a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 АЖ-да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деректерін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жіберуге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салуды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Растаудан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тарту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Басқаннан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терезе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ашылады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онда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сіз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тартудың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себебін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жазуыңыз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керек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Бұдан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әрі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батырмасын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электрондық-цифрлық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қолтаңбамен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әрекетке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қойыңыз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қою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батырмасын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тере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зе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пайда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Қолтаңба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керек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пин-кодты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енгізіп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қою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батырмасын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1E04" w:rsidRPr="00E92DE0" w:rsidRDefault="00E92DE0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жіберілмейді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ТІЖ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өзгереді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бастамасына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дейін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ЭШФ/ТІЖ-да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болған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мәртебе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бері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леді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04" w:rsidRPr="00E92DE0" w:rsidRDefault="00E92DE0">
      <w:pPr>
        <w:keepNext/>
        <w:jc w:val="center"/>
        <w:rPr>
          <w:rFonts w:ascii="Times New Roman" w:hAnsi="Times New Roman" w:cs="Times New Roman"/>
          <w:color w:val="000000" w:themeColor="text1"/>
        </w:rPr>
      </w:pPr>
      <w:r w:rsidRPr="00E92DE0">
        <w:rPr>
          <w:noProof/>
        </w:rPr>
        <w:drawing>
          <wp:inline distT="0" distB="0" distL="0" distR="0">
            <wp:extent cx="3301365" cy="2620010"/>
            <wp:effectExtent l="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04" w:rsidRPr="00E92DE0" w:rsidRDefault="00E92DE0">
      <w:pPr>
        <w:pStyle w:val="a8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</w:pP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6-сурет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қабылдамаудың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 xml:space="preserve"> себебі</w:t>
      </w:r>
    </w:p>
    <w:p w:rsidR="00F51E04" w:rsidRPr="00E92DE0" w:rsidRDefault="00E92DE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МО АЖ-ге ЭШФ жіберу журналымен жұмыс </w:t>
      </w:r>
    </w:p>
    <w:p w:rsidR="00F51E04" w:rsidRPr="00E92DE0" w:rsidRDefault="00E92D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МО АЖ-ге ЭШФ жіберу журналы паудаланушыларға жіберілген немесе қабылданған сұраулар, қай мемлекеттік органға жіберілгені туралы ақпаратты көруге, сұрау күйін, сұрау тарихын, сұрау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күнін және растауды қадағалау мүмкіндігін береді.</w:t>
      </w:r>
    </w:p>
    <w:p w:rsidR="00F51E04" w:rsidRPr="00E92DE0" w:rsidRDefault="00F51E0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1E04" w:rsidRPr="00E92DE0" w:rsidRDefault="00E92DE0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Сұрау туралы ақпаратты МО АЖ сұрау салу журналын ашып қарауға болады. Оған «Электрондық шот-фактуралар» журналының мәзірінен өтуге болады.</w:t>
      </w:r>
    </w:p>
    <w:p w:rsidR="00F51E04" w:rsidRPr="00E92DE0" w:rsidRDefault="00F51E04">
      <w:pPr>
        <w:pStyle w:val="ab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51E04" w:rsidRPr="00E92DE0" w:rsidRDefault="00E92DE0">
      <w:pPr>
        <w:pStyle w:val="ab"/>
        <w:keepNext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E92DE0">
        <w:rPr>
          <w:noProof/>
        </w:rPr>
        <w:lastRenderedPageBreak/>
        <w:drawing>
          <wp:inline distT="0" distB="0" distL="0" distR="0">
            <wp:extent cx="5940425" cy="255143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04" w:rsidRPr="00E92DE0" w:rsidRDefault="00E92DE0">
      <w:pPr>
        <w:pStyle w:val="a8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24"/>
          <w:lang w:val="kk-KZ"/>
        </w:rPr>
      </w:pPr>
      <w:r w:rsidRPr="00E92DE0">
        <w:rPr>
          <w:rFonts w:ascii="Times New Roman" w:hAnsi="Times New Roman" w:cs="Times New Roman"/>
          <w:i w:val="0"/>
          <w:color w:val="000000" w:themeColor="text1"/>
          <w:sz w:val="22"/>
          <w:lang w:val="kk-KZ"/>
        </w:rPr>
        <w:t>7-сурет</w:t>
      </w:r>
      <w:r w:rsidRPr="00E92DE0">
        <w:rPr>
          <w:rFonts w:ascii="Times New Roman" w:hAnsi="Times New Roman" w:cs="Times New Roman"/>
          <w:i w:val="0"/>
          <w:color w:val="000000" w:themeColor="text1"/>
          <w:sz w:val="22"/>
        </w:rPr>
        <w:t xml:space="preserve"> – </w:t>
      </w:r>
      <w:r w:rsidRPr="00E92D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МО АЖ </w:t>
      </w:r>
      <w:proofErr w:type="spellStart"/>
      <w:r w:rsidRPr="00E92D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сұрау</w:t>
      </w:r>
      <w:proofErr w:type="spellEnd"/>
      <w:r w:rsidRPr="00E92D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салу </w:t>
      </w:r>
      <w:proofErr w:type="spellStart"/>
      <w:r w:rsidRPr="00E92D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журналын</w:t>
      </w:r>
      <w:proofErr w:type="spellEnd"/>
      <w:r w:rsidRPr="00E92DE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  <w:t>а өтуге арналған батырма</w:t>
      </w:r>
    </w:p>
    <w:p w:rsidR="00F51E04" w:rsidRPr="00E92DE0" w:rsidRDefault="00E92DE0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асқаннан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журналы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ашылады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Осы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журналда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сіз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сұраулар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алынған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сұраулар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көре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аласыз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тарихын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күнін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бақылай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аласыз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04" w:rsidRPr="00E92DE0" w:rsidRDefault="00F51E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E04" w:rsidRPr="00E92DE0" w:rsidRDefault="00E92DE0">
      <w:pPr>
        <w:pStyle w:val="ab"/>
        <w:keepNext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E92DE0">
        <w:rPr>
          <w:noProof/>
        </w:rPr>
        <w:drawing>
          <wp:inline distT="0" distB="0" distL="0" distR="0">
            <wp:extent cx="6356985" cy="301942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04" w:rsidRPr="00E92DE0" w:rsidRDefault="00E92DE0">
      <w:pPr>
        <w:pStyle w:val="a8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8-сурет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ЭШФ-ны МО АЖ-ға жіберу ж</w:t>
      </w:r>
      <w:proofErr w:type="spellStart"/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урнал</w:t>
      </w:r>
      <w:proofErr w:type="spellEnd"/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ы</w:t>
      </w:r>
    </w:p>
    <w:p w:rsidR="00F51E04" w:rsidRPr="00E92DE0" w:rsidRDefault="00E92DE0">
      <w:pPr>
        <w:pStyle w:val="ab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ұрау</w:t>
      </w:r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салулардың мәртебелері келесідей болуы мүмкін</w:t>
      </w:r>
      <w:r w:rsidRPr="00E9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51E04" w:rsidRPr="00E92DE0" w:rsidRDefault="00E92DE0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жіберуге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сұраныс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контрагенттің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келісуін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күтуде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сұраныс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әлі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жоқ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E04" w:rsidRPr="00E92DE0" w:rsidRDefault="00E92DE0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өтінішті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контрагент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себебі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контрагентпен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E04" w:rsidRPr="00E92DE0" w:rsidRDefault="00E92DE0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Растаушы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СТ-мен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келісілді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жөнелтуге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расталды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МО АЖ-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жіберілетін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E04" w:rsidRPr="00E92DE0" w:rsidRDefault="00E92DE0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«Э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өтінімге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қосылды»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МО АЖ-да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қабылданды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өтінімге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енгізілді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ЭШФ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ЭШФ АЖ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бұғатталды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мәртебесінде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E04" w:rsidRPr="00E92DE0" w:rsidRDefault="00E92DE0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ЭҮШ жіберілген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ЭШФ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ЭҮШ жіберілген және қабылданған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E04" w:rsidRPr="00E92DE0" w:rsidRDefault="00E92DE0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ЭҮШ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қабылданбайды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ЭШФ жіберілген, бірақ ЭҮШ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қабылданбайды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E04" w:rsidRPr="00E92DE0" w:rsidRDefault="00E92DE0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МО АЖ жеткізілген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ЭШФ МО АЖ жеткізілген және қарастыруға қабылданды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E04" w:rsidRPr="00E92DE0" w:rsidRDefault="00E92DE0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«Э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өтінімге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қосылмады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МО АЖ-да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қабылданды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бірақ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өтінімге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енгізіл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ЭШФ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ТІЖ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өзгереді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бастамасына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дейін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ЭШФ/ТІЖ-да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болған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мәртебе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беріледі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E04" w:rsidRPr="00E92DE0" w:rsidRDefault="00E92DE0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қолдаудан бас тартылды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Жіберілген ЭШФ бойынша төлем жүргізілген жоқ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орган бас тарту себебін жолдайды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 ЭШ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ТІЖ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өзгереді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АЖ-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бастамасына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дейін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ЭШФ/ТІЖ-да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болған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мәртебе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беріледі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E04" w:rsidRPr="00E92DE0" w:rsidRDefault="00E92DE0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Бюджеттік субсидия төленді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жіберілген ЭШФ бойынша бюджеттік субсидия төленді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ЭШ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және байланысты ТІЖ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ЭШФ АЖ бұғатталған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мәртебесінде қалады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Әрбір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сұрау салу бойынша бас тартудың тарихын және себептерін қарауға болады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ЭШФ-ны МО АЖ-ға жіберу журнаоынан ЭШФ таңдаңыз және «Тарихты қарау» батырмасын басыңыз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04" w:rsidRPr="00E92DE0" w:rsidRDefault="00E92DE0">
      <w:pPr>
        <w:keepNext/>
        <w:jc w:val="center"/>
        <w:rPr>
          <w:rFonts w:ascii="Times New Roman" w:hAnsi="Times New Roman" w:cs="Times New Roman"/>
          <w:color w:val="000000" w:themeColor="text1"/>
        </w:rPr>
      </w:pPr>
      <w:r w:rsidRPr="00E92DE0">
        <w:rPr>
          <w:noProof/>
        </w:rPr>
        <w:drawing>
          <wp:inline distT="0" distB="0" distL="0" distR="0">
            <wp:extent cx="6370955" cy="2828290"/>
            <wp:effectExtent l="0" t="0" r="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04" w:rsidRPr="00E92DE0" w:rsidRDefault="00E92DE0">
      <w:pPr>
        <w:pStyle w:val="a8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9-сурет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сұрау салу тарихын қарау батырмасы</w:t>
      </w:r>
    </w:p>
    <w:p w:rsidR="00F51E04" w:rsidRPr="00E92DE0" w:rsidRDefault="00E92DE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Сұраудың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өмірлік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цикл</w:t>
      </w:r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інің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тарихын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қарау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ашылады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ескерту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өрісінде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контрагенттің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себебі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көрсетіледі</w:t>
      </w:r>
      <w:proofErr w:type="spellEnd"/>
      <w:r w:rsidRPr="00E92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04" w:rsidRPr="00E92DE0" w:rsidRDefault="00E92DE0">
      <w:pPr>
        <w:keepNext/>
        <w:jc w:val="center"/>
        <w:rPr>
          <w:rFonts w:ascii="Times New Roman" w:hAnsi="Times New Roman" w:cs="Times New Roman"/>
          <w:color w:val="000000" w:themeColor="text1"/>
        </w:rPr>
      </w:pPr>
      <w:r w:rsidRPr="00E92DE0">
        <w:rPr>
          <w:noProof/>
        </w:rPr>
        <w:lastRenderedPageBreak/>
        <w:drawing>
          <wp:inline distT="0" distB="0" distL="0" distR="0">
            <wp:extent cx="2999740" cy="2371090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04" w:rsidRDefault="00E92DE0">
      <w:pPr>
        <w:pStyle w:val="a8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10-сурет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</w:t>
      </w:r>
      <w:r w:rsidRPr="00E92DE0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kk-KZ"/>
        </w:rPr>
        <w:t>сұрау салудың өмірлік циклінің тарихы</w:t>
      </w:r>
    </w:p>
    <w:p w:rsidR="00F51E04" w:rsidRDefault="00F51E04">
      <w:pPr>
        <w:rPr>
          <w:rFonts w:ascii="Times New Roman" w:hAnsi="Times New Roman" w:cs="Times New Roman"/>
          <w:b/>
          <w:sz w:val="24"/>
          <w:szCs w:val="24"/>
        </w:rPr>
      </w:pPr>
    </w:p>
    <w:p w:rsidR="00F51E04" w:rsidRDefault="00F51E04"/>
    <w:sectPr w:rsidR="00F51E0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030"/>
    <w:multiLevelType w:val="multilevel"/>
    <w:tmpl w:val="8440265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1F147D4A"/>
    <w:multiLevelType w:val="multilevel"/>
    <w:tmpl w:val="83221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A67950"/>
    <w:multiLevelType w:val="multilevel"/>
    <w:tmpl w:val="6632244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B12F36"/>
    <w:multiLevelType w:val="multilevel"/>
    <w:tmpl w:val="CB6A4F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CFE1837"/>
    <w:multiLevelType w:val="multilevel"/>
    <w:tmpl w:val="3482E734"/>
    <w:lvl w:ilvl="0">
      <w:start w:val="1"/>
      <w:numFmt w:val="decimal"/>
      <w:lvlText w:val="%1)"/>
      <w:lvlJc w:val="left"/>
      <w:pPr>
        <w:tabs>
          <w:tab w:val="num" w:pos="0"/>
        </w:tabs>
        <w:ind w:left="33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832FB3"/>
    <w:multiLevelType w:val="multilevel"/>
    <w:tmpl w:val="4922ED4E"/>
    <w:lvl w:ilvl="0">
      <w:start w:val="1"/>
      <w:numFmt w:val="decimal"/>
      <w:lvlText w:val="%1)"/>
      <w:lvlJc w:val="left"/>
      <w:pPr>
        <w:tabs>
          <w:tab w:val="num" w:pos="0"/>
        </w:tabs>
        <w:ind w:left="33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04"/>
    <w:rsid w:val="00E92DE0"/>
    <w:rsid w:val="00F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6A27E-05A2-481C-B9BC-C976FFAB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998"/>
    <w:pPr>
      <w:spacing w:after="160" w:line="259" w:lineRule="auto"/>
    </w:pPr>
    <w:rPr>
      <w:rFonts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82766"/>
    <w:rPr>
      <w:rFonts w:ascii="Tahoma" w:eastAsia="Calibri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A7AFA"/>
    <w:rPr>
      <w:rFonts w:ascii="Consolas" w:eastAsia="Calibri" w:hAnsi="Consolas" w:cs="Calibri"/>
      <w:sz w:val="20"/>
      <w:szCs w:val="2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next w:val="a"/>
    <w:uiPriority w:val="35"/>
    <w:unhideWhenUsed/>
    <w:qFormat/>
    <w:rsid w:val="002060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AE4998"/>
    <w:rPr>
      <w:rFonts w:cs="Calibri"/>
      <w:lang w:eastAsia="ru-RU"/>
    </w:rPr>
  </w:style>
  <w:style w:type="paragraph" w:styleId="ab">
    <w:name w:val="List Paragraph"/>
    <w:basedOn w:val="a"/>
    <w:uiPriority w:val="34"/>
    <w:qFormat/>
    <w:rsid w:val="00AE4998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1827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1A7AFA"/>
    <w:pPr>
      <w:spacing w:after="0" w:line="240" w:lineRule="auto"/>
    </w:pPr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7C7C-155C-4955-9F55-D479DA74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Мажитова</dc:creator>
  <dc:description/>
  <cp:lastModifiedBy>Алия Мажитова</cp:lastModifiedBy>
  <cp:revision>8</cp:revision>
  <dcterms:created xsi:type="dcterms:W3CDTF">2023-01-16T03:35:00Z</dcterms:created>
  <dcterms:modified xsi:type="dcterms:W3CDTF">2023-03-13T05:48:00Z</dcterms:modified>
  <dc:language>en-US</dc:language>
</cp:coreProperties>
</file>