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1668"/>
        <w:gridCol w:w="12757"/>
      </w:tblGrid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Может ли налогоплательщик экспортировать товар на территорию государств-членов ЕАЭС, включенный в Перечень?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случае налогоплательщик, на которого возложена обязанность по выписке электронного счета-фактуры, может произвести выписку счета-фактуры на бумажном носителе?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гарантийное обязательство (сертификат конечного пользователя)?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По каким товарам косвенные налоги не взимаются при импорте на территорию государства-члена ЕАЭС?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tabs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каких случаях не допускается внесение изменений и дополнений в заявления о ввозе товаров и уплате косвенных налогов?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является подтверждением факта выполнения работ по переработке давальческого сырья в  случае выполнения налогоплательщиком РК работ по переработке давальческого сырья, ввезенного на территорию РК с территории ЕАЭС, с последующим вывозом продуктов переработки?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Каким методом производится отзыв заявления о ввозе товаров и уплате косвенных налогов?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D37DE2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оружие массового поражения?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Какие сведения содержит заключение соответствующего уполномоченного органа об условиях переработки?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каких случаях налогоплательщик, импортировавший товар с территории ЕАЭС вправе представить налоговое заявление на отзыв Заявления о ввозе товаров и уплате косвенных налогов?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B125A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вступил в действие Протокол «О некоторых вопросах ввоза и обращения товаров на таможенной территории Евразийского экономического союза»?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Назовите Компетенцию Правительства Республики Казахстан в области экспортного контроля?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73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Какой документ вручается налогоплательщику за 30 дней до начала налоговой проверки?</w:t>
            </w:r>
          </w:p>
          <w:p w:rsidR="00B92F87" w:rsidRPr="00C407C3" w:rsidRDefault="00B92F87" w:rsidP="00F24F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Дайте определение  предварительного акта налоговой проверки?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Перечислите формы налоговых проверок?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является объектом обложения корпоративным подоходным налогом?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Перечислите виды налоговых проверок с учетом изменений в Предпринимательском кодексе?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Имеет ли право орган государственных доходов проверять структурные подразделения юридического лица, если в самом юридическом лице не проводится налоговая проверка?</w:t>
            </w:r>
          </w:p>
          <w:p w:rsidR="00B92F87" w:rsidRPr="00C407C3" w:rsidRDefault="00B92F87" w:rsidP="00F24F7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целей налогообложения поясните понятие «налоговый режим»?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pStyle w:val="a3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Органами государственных доходов выписано предписание на проведение налоговой проверки. Вручение предписания произведено позже даты, указанной в предписании. В связи с чем, возникает вопрос, какая дата является началом проведения налоговой проверки - дата выписки предписания или дата вручения его </w:t>
            </w:r>
            <w:r w:rsidRPr="00C4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налогоплательщику?         </w:t>
            </w:r>
          </w:p>
          <w:p w:rsidR="00B92F87" w:rsidRPr="00C407C3" w:rsidRDefault="00B92F87" w:rsidP="00F24F7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C15CE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Каков 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исковой давности по требованиям таможенных органов и плательщиков?  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В 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каких</w:t>
            </w: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случаях выносится предварительный акт выездной таможенной проверки</w:t>
            </w: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В каких случаях проверяемое лицо вправе отказать должностным лицам, осуществляющим таможенную проверку в доступе на объект?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50526">
            <w:pPr>
              <w:ind w:lef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возврата оператором почты или оператором связи документов проверки по причине отсутствия проверяемого лица по месту нахождения, указанному в регистрационных данных, какие действия должны совершать органы государственных доходов?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50526">
            <w:pPr>
              <w:ind w:hanging="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gramStart"/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течение</w:t>
            </w:r>
            <w:proofErr w:type="gramEnd"/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какого срока подается жалоба на уведомление о результатах таможенной проверки?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50526">
            <w:pPr>
              <w:ind w:left="-17" w:firstLine="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Срок</w:t>
            </w: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камеральной таможенной проверки и каким НПА закреплен такой срок?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050526">
            <w:pPr>
              <w:ind w:left="-17" w:firstLine="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Перечислите</w:t>
            </w:r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основания, при необходимости которых приостанавливается выездная таможенная проверка и кто уполномочен принимать решение о приостановлении проверки?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 </w:t>
            </w: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называется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«профилем риска» </w:t>
            </w:r>
            <w:proofErr w:type="gramStart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согласно Кодекса</w:t>
            </w:r>
            <w:proofErr w:type="gramEnd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 «О таможенном регулировании в РК»?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Что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понимается под термином «риск», согласно Кодекса РК «О таможенном регулировании в РК»?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before="100" w:before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применения налоговыми органами системы управления рисками?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ED0E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что влияют результаты категорирования налогоплательщиков?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ED0EDD">
            <w:pPr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Какие способы обеспечения уплаты таможенных пошлин, налогов в Республике Казахстан?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z1382"/>
            <w:bookmarkEnd w:id="0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Перечислите виды налогов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z3683"/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Что</w:t>
            </w:r>
            <w:r w:rsidRPr="00C4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такое Математическое моделирование?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43188B">
            <w:pPr>
              <w:spacing w:after="100" w:afterAutospacing="1"/>
              <w:ind w:left="993" w:hanging="10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математическая модель?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При каких таможенных процедурах таможенная стоимость товаров не определяется?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Назовите способы обеспечения исполнения обязанности по уплате таможенных пошлин, налогов?</w:t>
            </w:r>
          </w:p>
        </w:tc>
      </w:tr>
      <w:bookmarkEnd w:id="1"/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23ECE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Каков предельный срок таможенного транзита?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виды таможенной декларации?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23ECE">
            <w:pPr>
              <w:ind w:left="-17" w:firstLine="1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Через какой период времени после применения выпуска товаров до подачи декларации на товары подается декларация на товары с  полной уплатой таможенных платежей и налогов?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>Кому</w:t>
            </w:r>
            <w:proofErr w:type="gramEnd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в </w:t>
            </w:r>
            <w:proofErr w:type="gramStart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>каких</w:t>
            </w:r>
            <w:proofErr w:type="gramEnd"/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целях допускается передача 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без завершения действия таможенной процедуры 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свободной таможенной зоны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 владение и (или) пользование</w:t>
            </w:r>
            <w:r w:rsidRPr="00C4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F24F7B">
            <w:pPr>
              <w:pStyle w:val="1"/>
              <w:widowControl w:val="0"/>
              <w:shd w:val="clear" w:color="auto" w:fill="auto"/>
              <w:spacing w:after="0" w:line="240" w:lineRule="auto"/>
              <w:ind w:firstLine="34"/>
              <w:contextualSpacing/>
              <w:jc w:val="both"/>
              <w:rPr>
                <w:b/>
                <w:sz w:val="24"/>
                <w:szCs w:val="24"/>
              </w:rPr>
            </w:pPr>
            <w:r w:rsidRPr="00C407C3">
              <w:rPr>
                <w:b/>
                <w:sz w:val="24"/>
                <w:szCs w:val="24"/>
              </w:rPr>
              <w:t>Товары, помещенные под таможенную процедуру беспошлинной торговли, реализуются?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1"/>
              <w:widowControl w:val="0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C407C3">
              <w:rPr>
                <w:b/>
                <w:sz w:val="24"/>
                <w:szCs w:val="24"/>
              </w:rPr>
              <w:t>Какие иностранные товары не помещаются под таможенную процедуру таможенного транзита?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1"/>
              <w:widowControl w:val="0"/>
              <w:numPr>
                <w:ilvl w:val="0"/>
                <w:numId w:val="30"/>
              </w:numPr>
              <w:shd w:val="clear" w:color="auto" w:fill="auto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407C3">
              <w:rPr>
                <w:b/>
                <w:bCs/>
                <w:sz w:val="24"/>
                <w:szCs w:val="24"/>
              </w:rPr>
              <w:t>Какие международные соглашения являются основой в положениях о таможенной стоимости товаров в таможенном законодательстве Евразийского экономического союза?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proofErr w:type="gramEnd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 какого времени перевозчик либо декларант товаров, помещенных под таможенную процедуру таможенного транзита, обязан представить таможенному органу назначения транзитную декларацию, а также имеющиеся у него другие документы в отношении товаров, для завершения действия таможенной процедуры таможенного транзита?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Какими методами осуществляется отзыв налоговой отчетности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Что такое «государственная услуга»?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07C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Что такое принцип «одного окна»?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регистрации ККМ в налоговых органах?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07C3">
              <w:rPr>
                <w:rStyle w:val="s0"/>
                <w:b/>
                <w:color w:val="auto"/>
              </w:rPr>
              <w:t>Срок проведения зачета</w:t>
            </w:r>
            <w:r w:rsidRPr="00C4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возврата излишне уплаченной суммы налога</w:t>
            </w:r>
            <w:r w:rsidRPr="00C407C3">
              <w:rPr>
                <w:rStyle w:val="s0"/>
                <w:b/>
                <w:color w:val="auto"/>
              </w:rPr>
              <w:t>, платежей в бюджет, пени</w:t>
            </w:r>
            <w:r w:rsidRPr="00C407C3">
              <w:rPr>
                <w:rStyle w:val="s0"/>
                <w:b/>
                <w:bCs/>
                <w:iCs/>
                <w:color w:val="auto"/>
              </w:rPr>
              <w:t xml:space="preserve"> </w:t>
            </w:r>
            <w:r w:rsidRPr="00C407C3">
              <w:rPr>
                <w:rStyle w:val="s0"/>
                <w:b/>
                <w:color w:val="auto"/>
              </w:rPr>
              <w:t>по налоговому заявлению налогоплательщика</w:t>
            </w:r>
            <w:r w:rsidRPr="00C407C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 w:cs="Times New Roman"/>
                <w:b/>
                <w:sz w:val="24"/>
                <w:szCs w:val="24"/>
              </w:rPr>
              <w:t>Нужно ли представлять налоговое заявление на зачет излишне уплаченной суммы налога в счет погашения задолженности по пени и штрафу по данному налогу?</w:t>
            </w:r>
          </w:p>
        </w:tc>
      </w:tr>
      <w:tr w:rsidR="00B92F87" w:rsidRPr="00C407C3" w:rsidTr="00B92F87">
        <w:trPr>
          <w:trHeight w:val="282"/>
        </w:trPr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Какие товары освобождаются от обложения акцизом: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 какого периода автозаправочные станции, расположенные в селах, поселках должны быть оснащены контрольными приборами учета?</w:t>
            </w:r>
          </w:p>
        </w:tc>
        <w:bookmarkStart w:id="3" w:name="SUB2810304"/>
        <w:bookmarkEnd w:id="3"/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На какие виды подакцизных товаров Правительство РК 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устанавливает минимальные розничные цены?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Какие прочие формы налогового контроля применяются в отношении подакцизных товаров?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Место уплаты акциза при импорте подакцизных товаров с территории Евразийского экономического союза?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8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07C3">
              <w:rPr>
                <w:b/>
              </w:rPr>
              <w:t>По каким к</w:t>
            </w:r>
            <w:r w:rsidRPr="00C407C3">
              <w:rPr>
                <w:b/>
                <w:bCs/>
              </w:rPr>
              <w:t xml:space="preserve">ритериям реализации бензина и дизельного топлива относится </w:t>
            </w:r>
            <w:proofErr w:type="gramStart"/>
            <w:r w:rsidRPr="00C407C3">
              <w:rPr>
                <w:b/>
                <w:bCs/>
              </w:rPr>
              <w:t>к</w:t>
            </w:r>
            <w:proofErr w:type="gramEnd"/>
            <w:r w:rsidRPr="00C407C3">
              <w:rPr>
                <w:b/>
                <w:bCs/>
              </w:rPr>
              <w:t xml:space="preserve"> оптовой?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Что является порчей и утратой подакцизных товаров?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8608"/>
          </w:p>
        </w:tc>
        <w:bookmarkEnd w:id="4"/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Дата введения СНТ (сопроводительные накладные на товары) на алкогольную продукцию: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вправе делать должностное лицо налогового органа, находящееся на акцизном посту?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after="360" w:line="285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pacing w:after="360" w:line="285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Какие суммы акцизов не подлежат вычету?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E902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Индивидуальный предприниматель работает по патенту, сдает в аренду квартиру. Надо ли сдавать форму 701.00 «Расчет текущих платежей по земельному налогу и налогу на имущество»?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какой ставке рассчитывается патент, по 1% или по 2%?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HTML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HTM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должен предоставлять декларацию по индивидуальному подоходному налогу (формы 240.00)?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Госслужащий, стаж работы более 5 лет. При сдаче ежегодной декларации (ф. 230.00) нужно ли указывать депозит </w:t>
            </w: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банка?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Какие сроки уплаты и ставки лицензионной платы на занятие отдельными видами деятельности (по хранению и оптовой реализации алкогольной продукции, а также по хранению и розничной реализации алкогольной продукции)?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Какая сумма оплаты за переоформление лицензии (хранение и розничной реализации алкогольной продукции)?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Default"/>
              <w:jc w:val="both"/>
              <w:rPr>
                <w:b/>
                <w:color w:val="auto"/>
              </w:rPr>
            </w:pPr>
            <w:r w:rsidRPr="00C407C3">
              <w:rPr>
                <w:b/>
                <w:color w:val="auto"/>
              </w:rPr>
              <w:t xml:space="preserve">В случае признания должника банкротом, в какие сроки будет завершена процедура банкротства?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каких случаях прекращается действие отсрочки или рассрочки налоговой задолженности?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налогоплательщик (физическое лицо) умер, его налоговые обязательства переходят наследнику или  прекращаются?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05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нужно представлять декларацию по косвенным налогам по импортированным товарам?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050E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Куда необходимо обратиться физическому лицу–резиденту для присваивается ИИН</w:t>
            </w:r>
            <w:proofErr w:type="gramStart"/>
            <w:r w:rsidRPr="00C407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B92F87" w:rsidRPr="00C407C3" w:rsidTr="00B92F87">
        <w:trPr>
          <w:trHeight w:val="1743"/>
        </w:trPr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F050EC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Могу ли я осуществлять предпринимательскую деятельность в качестве индивидуального предпринимателя   в  г. </w:t>
            </w:r>
            <w:proofErr w:type="gramStart"/>
            <w:r w:rsidRPr="00C407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Алматы</w:t>
            </w:r>
            <w:proofErr w:type="gramEnd"/>
            <w:r w:rsidRPr="00C407C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если прописан в г. Караганде?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подлежит мониторингу крупных налогоплательщиков?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Подлежит ли мониторингу крупных налогоплательщиков в случае реорганизации налогоплательщика, подлежащего мониторингу?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Подлежит ли мониторингу крупных налогоплательщиков в случае ликвидации налогоплательщика, подлежащего мониторингу?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какие сроки должно быть исполнено требование о предоставлении документов и письменных пояснений в ходе мониторинга крупных налогоплательщиков?</w:t>
            </w:r>
          </w:p>
          <w:p w:rsidR="00B92F87" w:rsidRPr="00C407C3" w:rsidRDefault="00B92F87" w:rsidP="00091E80">
            <w:pPr>
              <w:rPr>
                <w:rFonts w:ascii="Times New Roman" w:eastAsia="Consolas" w:hAnsi="Times New Roman"/>
                <w:b/>
                <w:color w:val="000000"/>
                <w:sz w:val="24"/>
                <w:szCs w:val="24"/>
              </w:rPr>
            </w:pPr>
          </w:p>
          <w:p w:rsidR="00B92F87" w:rsidRPr="00C407C3" w:rsidRDefault="00B92F87" w:rsidP="00091E8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какие сроки должно быть исполнено извещение при выявлении нарушений и расхождений в ходе мониторинга крупных налогоплательщиков?</w:t>
            </w:r>
          </w:p>
          <w:p w:rsidR="00B92F87" w:rsidRPr="00C407C3" w:rsidRDefault="00B92F87" w:rsidP="00091E8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какие сроки выносится мотивированное решение по итогам рассмотрения результатов мониторинга?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случае неисполнения мотивированного решения, какие меры принимаются?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является объектом обложения корпоративным подоходным налогом?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Как определяется налогооблагаемый доход? </w:t>
            </w: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    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какой срок может продлить уполномоченный орган назначенную им налоговую проверку?</w:t>
            </w:r>
          </w:p>
          <w:p w:rsidR="00B92F87" w:rsidRPr="00C407C3" w:rsidRDefault="00B92F87" w:rsidP="00091E8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5" w:name="z3102"/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Что является результатом камерального контроля? 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каким нарушениям, выявленным налоговым органом по результатам камерального контроля налогоплательщик не вправе представлять пояснения?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Какие прочие формы налогового контроля применяются в отношении подакцизных товаров?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8"/>
              <w:numPr>
                <w:ilvl w:val="0"/>
                <w:numId w:val="30"/>
              </w:numPr>
              <w:spacing w:after="0"/>
              <w:jc w:val="both"/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8"/>
              <w:spacing w:after="0"/>
              <w:jc w:val="both"/>
            </w:pPr>
            <w:r w:rsidRPr="00C407C3">
              <w:rPr>
                <w:b/>
              </w:rPr>
              <w:t>Что вправе делать должностное лицо налогового органа, находящееся на акцизном посту?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z3498"/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proofErr w:type="gramStart"/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отношении</w:t>
            </w:r>
            <w:proofErr w:type="gramEnd"/>
            <w:r w:rsidRPr="00C40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каких категорий налогоплательщиков не распространяется требование пункта 7 статьи 152 Налогового кодекса в части поступления валютной выручки?</w:t>
            </w:r>
          </w:p>
        </w:tc>
        <w:bookmarkEnd w:id="6"/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Понятие постоянной реализации товаров, работ, услуг, облагаемых по нулевой ставке?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6E6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Рассматривается ли стоимость безвозмездно переданного имущества в качестве дохода налогоплательщика, применяющего специальный налоговый режим для субъектов малого бизнеса?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2C4F07" w:rsidRDefault="00B92F87" w:rsidP="00B92F87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hAnsi="Times New Roman" w:cs="Times New Roman"/>
                <w:b/>
                <w:sz w:val="24"/>
                <w:szCs w:val="24"/>
              </w:rPr>
              <w:t>Вправе ли юридические лица - производители собственной сельскохозяйственной продукции, имеющие разветвленную сеть структурных подразделений, применять специальный налоговый режим для производителей сельскохозяйственной продукции и сельскохозяйственных кооперативов?</w:t>
            </w:r>
          </w:p>
        </w:tc>
      </w:tr>
      <w:bookmarkEnd w:id="5"/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Подлежит ли уплате обязательный пенсионный взнос в свою пользу в случае отсутствия дохода индивидуального предпринимателя?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Кто подпадает под категорию плательщиков ЕСП?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3E791E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Понятие сбора, взимаемого в соответствии с Налоговым кодексом.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3E791E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Кто является плательщиками платы за пользование земельными участками?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Кто не является плательщиками платы за размещение наружной (визуальной) рекламы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 что взимается </w:t>
            </w:r>
            <w:proofErr w:type="gramStart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плата</w:t>
            </w:r>
            <w:proofErr w:type="gramEnd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 за использование радиочастотного спектра?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Какие транспортные средства не являются объектами обложения?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Физическое лицо приобрело автотранспортное средство, которое на момент приобретения не состояло на учете в РК. В данном случае как исчисляется налог на транспортные средства</w:t>
            </w:r>
            <w:proofErr w:type="gramStart"/>
            <w:r w:rsidRPr="00C407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Кто является плательщиком налога по транспортным средствам, переданным по договору финансового лизинга?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3E791E">
            <w:pPr>
              <w:pStyle w:val="a5"/>
              <w:ind w:left="0" w:firstLine="34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C407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Что является основанием для признания пользователя земельного участка плательщиком земельного налога в случае отсутствия идентификационных документов?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BE6B12">
            <w:pPr>
              <w:pStyle w:val="a5"/>
              <w:ind w:left="0"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Что такое инвестиционные налоговые преференции? Каким условиям должны соответствовать объекты </w:t>
            </w:r>
            <w:r w:rsidRPr="00C407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преференций? На какие объекты преференции не распространяются? Какие методы применения преференций Вы знаете, в чем их отличие?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BE6B12">
            <w:pPr>
              <w:pStyle w:val="a5"/>
              <w:ind w:left="0"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Как признается дата совершения оборота по реализации для НДС? Приведите примеры определения даты совершения оборота по реализации.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BE6B12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Когда учитывается НДС, относимый в зачет, по какой дате? 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Какие виды доходов относятся к имущественному доходу физического лица?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BE6B12">
            <w:pPr>
              <w:tabs>
                <w:tab w:val="left" w:pos="33"/>
              </w:tabs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Кто и в какие сроки обязан представлять декларацию по индивидуальному подоходному налогу?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В каких случаях налогоплательщику вручается предварительный акт налоговой проверки?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Какие решения выносятся по итогам рассмотрения жалобы на уведомление о результатах налоговой проверки?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Расскажите порядок взыскания платы за эмиссии в окружающую среду на основании сведений уполномоченного государственного органа по результатам проведенных проверок.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E13940">
            <w:pPr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Назовите виды специальных налоговых режимов и их особенности.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</w:tcPr>
          <w:p w:rsidR="00B92F87" w:rsidRPr="00C407C3" w:rsidRDefault="00B92F87" w:rsidP="00E13940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В чем отличие между налогообложением товарищества с ограниченной ответственностью и постоянным учреждением нерезидента?</w:t>
            </w:r>
          </w:p>
        </w:tc>
      </w:tr>
      <w:tr w:rsidR="00B92F87" w:rsidRPr="00C407C3" w:rsidTr="00B92F87">
        <w:tc>
          <w:tcPr>
            <w:tcW w:w="1668" w:type="dxa"/>
          </w:tcPr>
          <w:p w:rsidR="00B92F87" w:rsidRPr="00B92F87" w:rsidRDefault="00B92F87" w:rsidP="00B92F8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B92F87" w:rsidRPr="00C407C3" w:rsidRDefault="00B92F87" w:rsidP="009E26C3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Какие юридические лица в целях Налогового кодекса </w:t>
            </w:r>
            <w:proofErr w:type="gramStart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>признаются резидентами и что признается</w:t>
            </w:r>
            <w:proofErr w:type="gramEnd"/>
            <w:r w:rsidRPr="00C407C3">
              <w:rPr>
                <w:rFonts w:ascii="Times New Roman" w:hAnsi="Times New Roman"/>
                <w:b/>
                <w:sz w:val="24"/>
                <w:szCs w:val="24"/>
              </w:rPr>
              <w:t xml:space="preserve"> местом эффективного управления?</w:t>
            </w:r>
          </w:p>
        </w:tc>
      </w:tr>
    </w:tbl>
    <w:p w:rsidR="00C60F90" w:rsidRPr="00C407C3" w:rsidRDefault="00C60F90" w:rsidP="009E26C3">
      <w:pPr>
        <w:spacing w:before="100" w:beforeAutospacing="1" w:after="100" w:afterAutospacing="1"/>
        <w:jc w:val="both"/>
        <w:outlineLvl w:val="1"/>
        <w:rPr>
          <w:rFonts w:ascii="Times New Roman" w:hAnsi="Times New Roman"/>
          <w:sz w:val="24"/>
          <w:szCs w:val="24"/>
          <w:lang w:val="kk-KZ"/>
        </w:rPr>
      </w:pPr>
    </w:p>
    <w:sectPr w:rsidR="00C60F90" w:rsidRPr="00C407C3" w:rsidSect="009E26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5DA"/>
    <w:multiLevelType w:val="hybridMultilevel"/>
    <w:tmpl w:val="66A4374E"/>
    <w:lvl w:ilvl="0" w:tplc="D49E600E">
      <w:start w:val="34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E7382A"/>
    <w:multiLevelType w:val="hybridMultilevel"/>
    <w:tmpl w:val="DFD2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E84"/>
    <w:multiLevelType w:val="hybridMultilevel"/>
    <w:tmpl w:val="D54C70D4"/>
    <w:lvl w:ilvl="0" w:tplc="5E5EB936">
      <w:start w:val="1"/>
      <w:numFmt w:val="bullet"/>
      <w:lvlText w:val="-"/>
      <w:lvlJc w:val="left"/>
      <w:pPr>
        <w:ind w:left="76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020457B"/>
    <w:multiLevelType w:val="hybridMultilevel"/>
    <w:tmpl w:val="A00C8792"/>
    <w:lvl w:ilvl="0" w:tplc="0419000F">
      <w:start w:val="1"/>
      <w:numFmt w:val="decimal"/>
      <w:lvlText w:val="%1."/>
      <w:lvlJc w:val="left"/>
      <w:pPr>
        <w:ind w:left="1213" w:hanging="360"/>
      </w:pPr>
    </w:lvl>
    <w:lvl w:ilvl="1" w:tplc="04190019">
      <w:start w:val="1"/>
      <w:numFmt w:val="lowerLetter"/>
      <w:lvlText w:val="%2."/>
      <w:lvlJc w:val="left"/>
      <w:pPr>
        <w:ind w:left="1933" w:hanging="360"/>
      </w:pPr>
    </w:lvl>
    <w:lvl w:ilvl="2" w:tplc="0419001B">
      <w:start w:val="1"/>
      <w:numFmt w:val="lowerRoman"/>
      <w:lvlText w:val="%3."/>
      <w:lvlJc w:val="right"/>
      <w:pPr>
        <w:ind w:left="2653" w:hanging="180"/>
      </w:pPr>
    </w:lvl>
    <w:lvl w:ilvl="3" w:tplc="0419000F">
      <w:start w:val="1"/>
      <w:numFmt w:val="decimal"/>
      <w:lvlText w:val="%4."/>
      <w:lvlJc w:val="left"/>
      <w:pPr>
        <w:ind w:left="3373" w:hanging="360"/>
      </w:pPr>
    </w:lvl>
    <w:lvl w:ilvl="4" w:tplc="04190019">
      <w:start w:val="1"/>
      <w:numFmt w:val="lowerLetter"/>
      <w:lvlText w:val="%5."/>
      <w:lvlJc w:val="left"/>
      <w:pPr>
        <w:ind w:left="4093" w:hanging="360"/>
      </w:pPr>
    </w:lvl>
    <w:lvl w:ilvl="5" w:tplc="0419001B">
      <w:start w:val="1"/>
      <w:numFmt w:val="lowerRoman"/>
      <w:lvlText w:val="%6."/>
      <w:lvlJc w:val="right"/>
      <w:pPr>
        <w:ind w:left="4813" w:hanging="180"/>
      </w:pPr>
    </w:lvl>
    <w:lvl w:ilvl="6" w:tplc="0419000F">
      <w:start w:val="1"/>
      <w:numFmt w:val="decimal"/>
      <w:lvlText w:val="%7."/>
      <w:lvlJc w:val="left"/>
      <w:pPr>
        <w:ind w:left="5533" w:hanging="360"/>
      </w:pPr>
    </w:lvl>
    <w:lvl w:ilvl="7" w:tplc="04190019">
      <w:start w:val="1"/>
      <w:numFmt w:val="lowerLetter"/>
      <w:lvlText w:val="%8."/>
      <w:lvlJc w:val="left"/>
      <w:pPr>
        <w:ind w:left="6253" w:hanging="360"/>
      </w:pPr>
    </w:lvl>
    <w:lvl w:ilvl="8" w:tplc="0419001B">
      <w:start w:val="1"/>
      <w:numFmt w:val="lowerRoman"/>
      <w:lvlText w:val="%9."/>
      <w:lvlJc w:val="right"/>
      <w:pPr>
        <w:ind w:left="6973" w:hanging="180"/>
      </w:pPr>
    </w:lvl>
  </w:abstractNum>
  <w:abstractNum w:abstractNumId="4">
    <w:nsid w:val="13734E14"/>
    <w:multiLevelType w:val="hybridMultilevel"/>
    <w:tmpl w:val="99829B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818"/>
    <w:multiLevelType w:val="hybridMultilevel"/>
    <w:tmpl w:val="95323D3A"/>
    <w:lvl w:ilvl="0" w:tplc="4E8010EC">
      <w:start w:val="96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1D57489A"/>
    <w:multiLevelType w:val="hybridMultilevel"/>
    <w:tmpl w:val="6DC802EC"/>
    <w:lvl w:ilvl="0" w:tplc="6844936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F4D46"/>
    <w:multiLevelType w:val="hybridMultilevel"/>
    <w:tmpl w:val="1A185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02438"/>
    <w:multiLevelType w:val="hybridMultilevel"/>
    <w:tmpl w:val="D090B100"/>
    <w:lvl w:ilvl="0" w:tplc="331AE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6261F"/>
    <w:multiLevelType w:val="hybridMultilevel"/>
    <w:tmpl w:val="99C0EE28"/>
    <w:lvl w:ilvl="0" w:tplc="FB2C48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6D3607"/>
    <w:multiLevelType w:val="hybridMultilevel"/>
    <w:tmpl w:val="EE70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63128"/>
    <w:multiLevelType w:val="hybridMultilevel"/>
    <w:tmpl w:val="878A3CD8"/>
    <w:lvl w:ilvl="0" w:tplc="763A2BD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106B20"/>
    <w:multiLevelType w:val="hybridMultilevel"/>
    <w:tmpl w:val="3EC8D1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17FEC43A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6436E"/>
    <w:multiLevelType w:val="hybridMultilevel"/>
    <w:tmpl w:val="A0069388"/>
    <w:lvl w:ilvl="0" w:tplc="D7489E4E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AD36E7A"/>
    <w:multiLevelType w:val="hybridMultilevel"/>
    <w:tmpl w:val="B834123C"/>
    <w:lvl w:ilvl="0" w:tplc="5B72A30E">
      <w:start w:val="3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5">
    <w:nsid w:val="3FD93947"/>
    <w:multiLevelType w:val="hybridMultilevel"/>
    <w:tmpl w:val="7DA46F96"/>
    <w:lvl w:ilvl="0" w:tplc="DD9C4EF4">
      <w:start w:val="9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174908"/>
    <w:multiLevelType w:val="hybridMultilevel"/>
    <w:tmpl w:val="4008D716"/>
    <w:lvl w:ilvl="0" w:tplc="24309A7C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451201B7"/>
    <w:multiLevelType w:val="multilevel"/>
    <w:tmpl w:val="13F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72E5C"/>
    <w:multiLevelType w:val="hybridMultilevel"/>
    <w:tmpl w:val="F7889D0C"/>
    <w:lvl w:ilvl="0" w:tplc="B92089C6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4C620470"/>
    <w:multiLevelType w:val="hybridMultilevel"/>
    <w:tmpl w:val="BB64616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3238"/>
    <w:multiLevelType w:val="hybridMultilevel"/>
    <w:tmpl w:val="B18AA532"/>
    <w:lvl w:ilvl="0" w:tplc="EC30715E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F5072C0"/>
    <w:multiLevelType w:val="hybridMultilevel"/>
    <w:tmpl w:val="DCAA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F33D8"/>
    <w:multiLevelType w:val="hybridMultilevel"/>
    <w:tmpl w:val="64FC7B18"/>
    <w:lvl w:ilvl="0" w:tplc="308A8734">
      <w:start w:val="53"/>
      <w:numFmt w:val="decimal"/>
      <w:lvlText w:val="%1."/>
      <w:lvlJc w:val="left"/>
      <w:pPr>
        <w:ind w:left="1138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>
    <w:nsid w:val="57B325E1"/>
    <w:multiLevelType w:val="hybridMultilevel"/>
    <w:tmpl w:val="3EF4697C"/>
    <w:lvl w:ilvl="0" w:tplc="2CF89E6C">
      <w:start w:val="53"/>
      <w:numFmt w:val="decimal"/>
      <w:lvlText w:val="%1."/>
      <w:lvlJc w:val="left"/>
      <w:pPr>
        <w:ind w:left="1138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4">
    <w:nsid w:val="5B883932"/>
    <w:multiLevelType w:val="hybridMultilevel"/>
    <w:tmpl w:val="84D0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7C4A"/>
    <w:multiLevelType w:val="hybridMultilevel"/>
    <w:tmpl w:val="D922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24E4F"/>
    <w:multiLevelType w:val="hybridMultilevel"/>
    <w:tmpl w:val="D95C3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88026D"/>
    <w:multiLevelType w:val="hybridMultilevel"/>
    <w:tmpl w:val="A7167F18"/>
    <w:lvl w:ilvl="0" w:tplc="12EAE138">
      <w:start w:val="51"/>
      <w:numFmt w:val="decimal"/>
      <w:lvlText w:val="%1."/>
      <w:lvlJc w:val="left"/>
      <w:pPr>
        <w:ind w:left="157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FCC0BF4"/>
    <w:multiLevelType w:val="hybridMultilevel"/>
    <w:tmpl w:val="0CCEB116"/>
    <w:lvl w:ilvl="0" w:tplc="00C615E4">
      <w:start w:val="1"/>
      <w:numFmt w:val="decimal"/>
      <w:lvlText w:val="%1)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2"/>
  </w:num>
  <w:num w:numId="6">
    <w:abstractNumId w:val="20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25"/>
  </w:num>
  <w:num w:numId="12">
    <w:abstractNumId w:val="21"/>
  </w:num>
  <w:num w:numId="13">
    <w:abstractNumId w:val="8"/>
  </w:num>
  <w:num w:numId="14">
    <w:abstractNumId w:val="22"/>
  </w:num>
  <w:num w:numId="15">
    <w:abstractNumId w:val="27"/>
  </w:num>
  <w:num w:numId="16">
    <w:abstractNumId w:val="0"/>
  </w:num>
  <w:num w:numId="17">
    <w:abstractNumId w:val="7"/>
  </w:num>
  <w:num w:numId="18">
    <w:abstractNumId w:val="12"/>
  </w:num>
  <w:num w:numId="19">
    <w:abstractNumId w:val="15"/>
  </w:num>
  <w:num w:numId="20">
    <w:abstractNumId w:val="5"/>
  </w:num>
  <w:num w:numId="21">
    <w:abstractNumId w:val="18"/>
  </w:num>
  <w:num w:numId="22">
    <w:abstractNumId w:val="24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6"/>
  </w:num>
  <w:num w:numId="27">
    <w:abstractNumId w:val="4"/>
  </w:num>
  <w:num w:numId="28">
    <w:abstractNumId w:val="10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4D"/>
    <w:rsid w:val="00023ECE"/>
    <w:rsid w:val="00050526"/>
    <w:rsid w:val="00056B59"/>
    <w:rsid w:val="001645EB"/>
    <w:rsid w:val="001E68DF"/>
    <w:rsid w:val="002514C1"/>
    <w:rsid w:val="002C4F07"/>
    <w:rsid w:val="002F0361"/>
    <w:rsid w:val="003E791E"/>
    <w:rsid w:val="0043188B"/>
    <w:rsid w:val="004D6BBB"/>
    <w:rsid w:val="004E114D"/>
    <w:rsid w:val="005134AD"/>
    <w:rsid w:val="00526741"/>
    <w:rsid w:val="00535F9C"/>
    <w:rsid w:val="005F63DF"/>
    <w:rsid w:val="006D152E"/>
    <w:rsid w:val="006E53C4"/>
    <w:rsid w:val="006E639D"/>
    <w:rsid w:val="007555F6"/>
    <w:rsid w:val="0085418D"/>
    <w:rsid w:val="009549A8"/>
    <w:rsid w:val="009E26C3"/>
    <w:rsid w:val="009F52EF"/>
    <w:rsid w:val="00A43FD9"/>
    <w:rsid w:val="00AB7F03"/>
    <w:rsid w:val="00B10107"/>
    <w:rsid w:val="00B125AC"/>
    <w:rsid w:val="00B92F87"/>
    <w:rsid w:val="00BE6B12"/>
    <w:rsid w:val="00C05CC6"/>
    <w:rsid w:val="00C15CEB"/>
    <w:rsid w:val="00C407C3"/>
    <w:rsid w:val="00C60F90"/>
    <w:rsid w:val="00D37DE2"/>
    <w:rsid w:val="00D56372"/>
    <w:rsid w:val="00DD7388"/>
    <w:rsid w:val="00E13940"/>
    <w:rsid w:val="00E62289"/>
    <w:rsid w:val="00E874AD"/>
    <w:rsid w:val="00E87BB4"/>
    <w:rsid w:val="00E902D1"/>
    <w:rsid w:val="00EA72A2"/>
    <w:rsid w:val="00EB1D69"/>
    <w:rsid w:val="00ED0964"/>
    <w:rsid w:val="00ED0EDD"/>
    <w:rsid w:val="00F050EC"/>
    <w:rsid w:val="00F07A27"/>
    <w:rsid w:val="00F24F7B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9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68D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6BBB"/>
    <w:pPr>
      <w:spacing w:before="251" w:after="151" w:line="435" w:lineRule="atLeast"/>
      <w:outlineLvl w:val="2"/>
    </w:pPr>
    <w:rPr>
      <w:rFonts w:ascii="Arial" w:eastAsia="Times New Roman" w:hAnsi="Arial" w:cs="Arial"/>
      <w:color w:val="444444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BBB"/>
    <w:rPr>
      <w:rFonts w:ascii="Arial" w:eastAsia="Times New Roman" w:hAnsi="Arial" w:cs="Arial"/>
      <w:color w:val="444444"/>
      <w:sz w:val="35"/>
      <w:szCs w:val="35"/>
    </w:rPr>
  </w:style>
  <w:style w:type="paragraph" w:styleId="a3">
    <w:name w:val="No Spacing"/>
    <w:aliases w:val="мелкий,мой рабочий,No Spacing,Без интервала1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4"/>
    <w:uiPriority w:val="1"/>
    <w:qFormat/>
    <w:rsid w:val="00C60F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0F90"/>
    <w:pPr>
      <w:ind w:left="720"/>
      <w:contextualSpacing/>
    </w:pPr>
  </w:style>
  <w:style w:type="character" w:customStyle="1" w:styleId="a4">
    <w:name w:val="Без интервала Знак"/>
    <w:aliases w:val="мелкий Знак,мой рабочий Знак,No Spacing Знак,Без интервала1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3"/>
    <w:uiPriority w:val="1"/>
    <w:locked/>
    <w:rsid w:val="00C60F90"/>
  </w:style>
  <w:style w:type="table" w:styleId="a6">
    <w:name w:val="Table Grid"/>
    <w:basedOn w:val="a1"/>
    <w:uiPriority w:val="59"/>
    <w:rsid w:val="00C6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645EB"/>
    <w:rPr>
      <w:b/>
      <w:bCs/>
    </w:rPr>
  </w:style>
  <w:style w:type="paragraph" w:styleId="a8">
    <w:name w:val="Normal (Web)"/>
    <w:basedOn w:val="a"/>
    <w:uiPriority w:val="99"/>
    <w:unhideWhenUsed/>
    <w:rsid w:val="005F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uiPriority w:val="99"/>
    <w:rsid w:val="00C05C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C05CC6"/>
    <w:pPr>
      <w:shd w:val="clear" w:color="auto" w:fill="FFFFFF"/>
      <w:spacing w:after="2220" w:line="240" w:lineRule="exact"/>
      <w:ind w:firstLine="709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0">
    <w:name w:val="s0"/>
    <w:rsid w:val="001E68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E6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1E68DF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E68D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lid-translation">
    <w:name w:val="tlid-translation"/>
    <w:basedOn w:val="a0"/>
    <w:rsid w:val="001E68DF"/>
  </w:style>
  <w:style w:type="paragraph" w:styleId="HTML">
    <w:name w:val="HTML Preformatted"/>
    <w:basedOn w:val="a"/>
    <w:link w:val="HTML0"/>
    <w:uiPriority w:val="99"/>
    <w:unhideWhenUsed/>
    <w:rsid w:val="001E68DF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68DF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E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a"/>
    <w:basedOn w:val="a0"/>
    <w:rsid w:val="0085418D"/>
  </w:style>
  <w:style w:type="character" w:customStyle="1" w:styleId="s1">
    <w:name w:val="s1"/>
    <w:basedOn w:val="a0"/>
    <w:rsid w:val="0085418D"/>
    <w:rPr>
      <w:color w:val="000000"/>
    </w:rPr>
  </w:style>
  <w:style w:type="table" w:styleId="ad">
    <w:name w:val="Light List"/>
    <w:basedOn w:val="a1"/>
    <w:uiPriority w:val="61"/>
    <w:rsid w:val="009E26C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9E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9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E68D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6BBB"/>
    <w:pPr>
      <w:spacing w:before="251" w:after="151" w:line="435" w:lineRule="atLeast"/>
      <w:outlineLvl w:val="2"/>
    </w:pPr>
    <w:rPr>
      <w:rFonts w:ascii="Arial" w:eastAsia="Times New Roman" w:hAnsi="Arial" w:cs="Arial"/>
      <w:color w:val="444444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BBB"/>
    <w:rPr>
      <w:rFonts w:ascii="Arial" w:eastAsia="Times New Roman" w:hAnsi="Arial" w:cs="Arial"/>
      <w:color w:val="444444"/>
      <w:sz w:val="35"/>
      <w:szCs w:val="35"/>
    </w:rPr>
  </w:style>
  <w:style w:type="paragraph" w:styleId="a3">
    <w:name w:val="No Spacing"/>
    <w:aliases w:val="мелкий,мой рабочий,No Spacing,Без интервала1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4"/>
    <w:uiPriority w:val="1"/>
    <w:qFormat/>
    <w:rsid w:val="00C60F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0F90"/>
    <w:pPr>
      <w:ind w:left="720"/>
      <w:contextualSpacing/>
    </w:pPr>
  </w:style>
  <w:style w:type="character" w:customStyle="1" w:styleId="a4">
    <w:name w:val="Без интервала Знак"/>
    <w:aliases w:val="мелкий Знак,мой рабочий Знак,No Spacing Знак,Без интервала1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3"/>
    <w:uiPriority w:val="1"/>
    <w:locked/>
    <w:rsid w:val="00C60F90"/>
  </w:style>
  <w:style w:type="table" w:styleId="a6">
    <w:name w:val="Table Grid"/>
    <w:basedOn w:val="a1"/>
    <w:uiPriority w:val="59"/>
    <w:rsid w:val="00C6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645EB"/>
    <w:rPr>
      <w:b/>
      <w:bCs/>
    </w:rPr>
  </w:style>
  <w:style w:type="paragraph" w:styleId="a8">
    <w:name w:val="Normal (Web)"/>
    <w:basedOn w:val="a"/>
    <w:uiPriority w:val="99"/>
    <w:unhideWhenUsed/>
    <w:rsid w:val="005F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uiPriority w:val="99"/>
    <w:rsid w:val="00C05C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C05CC6"/>
    <w:pPr>
      <w:shd w:val="clear" w:color="auto" w:fill="FFFFFF"/>
      <w:spacing w:after="2220" w:line="240" w:lineRule="exact"/>
      <w:ind w:firstLine="709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0">
    <w:name w:val="s0"/>
    <w:rsid w:val="001E68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E6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1E68DF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E68D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lid-translation">
    <w:name w:val="tlid-translation"/>
    <w:basedOn w:val="a0"/>
    <w:rsid w:val="001E68DF"/>
  </w:style>
  <w:style w:type="paragraph" w:styleId="HTML">
    <w:name w:val="HTML Preformatted"/>
    <w:basedOn w:val="a"/>
    <w:link w:val="HTML0"/>
    <w:uiPriority w:val="99"/>
    <w:unhideWhenUsed/>
    <w:rsid w:val="001E68DF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68DF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1E6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a"/>
    <w:basedOn w:val="a0"/>
    <w:rsid w:val="0085418D"/>
  </w:style>
  <w:style w:type="character" w:customStyle="1" w:styleId="s1">
    <w:name w:val="s1"/>
    <w:basedOn w:val="a0"/>
    <w:rsid w:val="0085418D"/>
    <w:rPr>
      <w:color w:val="000000"/>
    </w:rPr>
  </w:style>
  <w:style w:type="table" w:styleId="ad">
    <w:name w:val="Light List"/>
    <w:basedOn w:val="a1"/>
    <w:uiPriority w:val="61"/>
    <w:rsid w:val="009E26C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9E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2D81-6799-4EC5-9C8C-127D177F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Берденова  Шынар Жанузаковна</dc:creator>
  <cp:keywords/>
  <dc:description/>
  <cp:lastModifiedBy>Берденова Шынар Жанузаковна</cp:lastModifiedBy>
  <cp:revision>30</cp:revision>
  <dcterms:created xsi:type="dcterms:W3CDTF">2020-02-26T03:38:00Z</dcterms:created>
  <dcterms:modified xsi:type="dcterms:W3CDTF">2020-08-13T05:47:00Z</dcterms:modified>
</cp:coreProperties>
</file>