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53" w:rsidRDefault="00A0507C" w:rsidP="00F2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07C">
        <w:rPr>
          <w:rFonts w:ascii="Times New Roman" w:hAnsi="Times New Roman" w:cs="Times New Roman"/>
          <w:b/>
          <w:sz w:val="28"/>
          <w:szCs w:val="28"/>
        </w:rPr>
        <w:t>Международный опыт:</w:t>
      </w:r>
    </w:p>
    <w:p w:rsidR="00A0507C" w:rsidRDefault="00A0507C" w:rsidP="00F2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07C">
        <w:rPr>
          <w:rFonts w:ascii="Times New Roman" w:hAnsi="Times New Roman" w:cs="Times New Roman"/>
          <w:b/>
          <w:sz w:val="28"/>
          <w:szCs w:val="28"/>
        </w:rPr>
        <w:t>рассмотрение налоговых споров в Австралии</w:t>
      </w:r>
    </w:p>
    <w:p w:rsidR="00960254" w:rsidRDefault="00960254" w:rsidP="00F278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FDC" w:rsidRPr="004A7FDC" w:rsidRDefault="00960254" w:rsidP="00A0507C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A7FDC" w:rsidRPr="004A7FDC">
        <w:rPr>
          <w:rFonts w:ascii="Times New Roman" w:hAnsi="Times New Roman" w:cs="Times New Roman"/>
          <w:i/>
          <w:sz w:val="28"/>
          <w:szCs w:val="28"/>
        </w:rPr>
        <w:t>Общая информация</w:t>
      </w:r>
    </w:p>
    <w:p w:rsidR="00960254" w:rsidRDefault="00960254" w:rsidP="004A7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DF8">
        <w:rPr>
          <w:rFonts w:ascii="Times New Roman" w:hAnsi="Times New Roman" w:cs="Times New Roman"/>
          <w:sz w:val="28"/>
          <w:szCs w:val="28"/>
        </w:rPr>
        <w:t>Структура обжалования споров, возникающих по вопросам налогообложения</w:t>
      </w:r>
      <w:r w:rsidR="006A083D" w:rsidRPr="006A083D">
        <w:rPr>
          <w:rFonts w:ascii="Times New Roman" w:hAnsi="Times New Roman" w:cs="Times New Roman"/>
          <w:sz w:val="28"/>
          <w:szCs w:val="28"/>
        </w:rPr>
        <w:t xml:space="preserve"> </w:t>
      </w:r>
      <w:r w:rsidR="006A083D">
        <w:rPr>
          <w:rFonts w:ascii="Times New Roman" w:hAnsi="Times New Roman" w:cs="Times New Roman"/>
          <w:sz w:val="28"/>
          <w:szCs w:val="28"/>
        </w:rPr>
        <w:t>в Австралии</w:t>
      </w:r>
      <w:r w:rsidRPr="00626DF8">
        <w:rPr>
          <w:rFonts w:ascii="Times New Roman" w:hAnsi="Times New Roman" w:cs="Times New Roman"/>
          <w:sz w:val="28"/>
          <w:szCs w:val="28"/>
        </w:rPr>
        <w:t>, включает в себя стадию досудебного обжалования и разрешение споров в суде.</w:t>
      </w:r>
    </w:p>
    <w:p w:rsidR="00626DF8" w:rsidRPr="002E0076" w:rsidRDefault="00626DF8" w:rsidP="00A050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45C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алоговые споры в досудебном порядке могут рассматриваться органами налоговой службы</w:t>
      </w:r>
      <w:r w:rsidR="009F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E0076">
        <w:rPr>
          <w:rFonts w:ascii="Times New Roman" w:hAnsi="Times New Roman" w:cs="Times New Roman"/>
          <w:sz w:val="28"/>
          <w:szCs w:val="28"/>
        </w:rPr>
        <w:t>Административным Апелляционным трибуналом (</w:t>
      </w:r>
      <w:r w:rsidR="00197466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2E0076">
        <w:rPr>
          <w:rFonts w:ascii="Times New Roman" w:hAnsi="Times New Roman" w:cs="Times New Roman"/>
          <w:sz w:val="28"/>
          <w:szCs w:val="28"/>
        </w:rPr>
        <w:t>Трибунал</w:t>
      </w:r>
      <w:r w:rsidRPr="002E0076">
        <w:rPr>
          <w:rFonts w:ascii="Times New Roman" w:hAnsi="Times New Roman" w:cs="Times New Roman"/>
          <w:sz w:val="28"/>
          <w:szCs w:val="28"/>
        </w:rPr>
        <w:t>)</w:t>
      </w:r>
      <w:r w:rsidR="00696E5E">
        <w:rPr>
          <w:rFonts w:ascii="Times New Roman" w:hAnsi="Times New Roman" w:cs="Times New Roman"/>
          <w:sz w:val="28"/>
          <w:szCs w:val="28"/>
        </w:rPr>
        <w:t xml:space="preserve">. </w:t>
      </w:r>
      <w:r w:rsidR="006A083D">
        <w:rPr>
          <w:rFonts w:ascii="Times New Roman" w:hAnsi="Times New Roman" w:cs="Times New Roman"/>
          <w:sz w:val="28"/>
          <w:szCs w:val="28"/>
        </w:rPr>
        <w:t>Н</w:t>
      </w:r>
      <w:r w:rsidR="001E6D36">
        <w:rPr>
          <w:rFonts w:ascii="Times New Roman" w:hAnsi="Times New Roman" w:cs="Times New Roman"/>
          <w:sz w:val="28"/>
          <w:szCs w:val="28"/>
        </w:rPr>
        <w:t>а</w:t>
      </w:r>
      <w:r w:rsidR="006A083D">
        <w:rPr>
          <w:rFonts w:ascii="Times New Roman" w:hAnsi="Times New Roman" w:cs="Times New Roman"/>
          <w:sz w:val="28"/>
          <w:szCs w:val="28"/>
        </w:rPr>
        <w:t xml:space="preserve"> этой стадии</w:t>
      </w:r>
      <w:r w:rsidR="00202A73" w:rsidRPr="002E0076">
        <w:rPr>
          <w:rFonts w:ascii="Times New Roman" w:hAnsi="Times New Roman" w:cs="Times New Roman"/>
          <w:sz w:val="28"/>
          <w:szCs w:val="28"/>
        </w:rPr>
        <w:t xml:space="preserve"> </w:t>
      </w:r>
      <w:r w:rsidR="009F291C">
        <w:rPr>
          <w:rFonts w:ascii="Times New Roman" w:hAnsi="Times New Roman" w:cs="Times New Roman"/>
          <w:sz w:val="28"/>
          <w:szCs w:val="28"/>
        </w:rPr>
        <w:t xml:space="preserve">для снижения количества исков в суды </w:t>
      </w:r>
      <w:r w:rsidR="006A083D">
        <w:rPr>
          <w:rFonts w:ascii="Times New Roman" w:hAnsi="Times New Roman" w:cs="Times New Roman"/>
          <w:sz w:val="28"/>
          <w:szCs w:val="28"/>
        </w:rPr>
        <w:t xml:space="preserve">применяются различные </w:t>
      </w:r>
      <w:r w:rsidR="00202A73" w:rsidRPr="002E0076">
        <w:rPr>
          <w:rFonts w:ascii="Times New Roman" w:hAnsi="Times New Roman" w:cs="Times New Roman"/>
          <w:sz w:val="28"/>
          <w:szCs w:val="28"/>
        </w:rPr>
        <w:t>метод</w:t>
      </w:r>
      <w:r w:rsidR="006A083D">
        <w:rPr>
          <w:rFonts w:ascii="Times New Roman" w:hAnsi="Times New Roman" w:cs="Times New Roman"/>
          <w:sz w:val="28"/>
          <w:szCs w:val="28"/>
        </w:rPr>
        <w:t>ы</w:t>
      </w:r>
      <w:r w:rsidR="00202A73" w:rsidRPr="002E0076">
        <w:rPr>
          <w:rFonts w:ascii="Times New Roman" w:hAnsi="Times New Roman" w:cs="Times New Roman"/>
          <w:sz w:val="28"/>
          <w:szCs w:val="28"/>
        </w:rPr>
        <w:t xml:space="preserve"> разрешения споров</w:t>
      </w:r>
      <w:r w:rsidR="00197466">
        <w:rPr>
          <w:rFonts w:ascii="Times New Roman" w:hAnsi="Times New Roman" w:cs="Times New Roman"/>
          <w:sz w:val="28"/>
          <w:szCs w:val="28"/>
        </w:rPr>
        <w:t>, в том числе использ</w:t>
      </w:r>
      <w:r w:rsidR="006A083D">
        <w:rPr>
          <w:rFonts w:ascii="Times New Roman" w:hAnsi="Times New Roman" w:cs="Times New Roman"/>
          <w:sz w:val="28"/>
          <w:szCs w:val="28"/>
        </w:rPr>
        <w:t>уются</w:t>
      </w:r>
      <w:r w:rsidR="00197466">
        <w:rPr>
          <w:rFonts w:ascii="Times New Roman" w:hAnsi="Times New Roman" w:cs="Times New Roman"/>
          <w:sz w:val="28"/>
          <w:szCs w:val="28"/>
        </w:rPr>
        <w:t xml:space="preserve"> примирительны</w:t>
      </w:r>
      <w:r w:rsidR="006A083D">
        <w:rPr>
          <w:rFonts w:ascii="Times New Roman" w:hAnsi="Times New Roman" w:cs="Times New Roman"/>
          <w:sz w:val="28"/>
          <w:szCs w:val="28"/>
        </w:rPr>
        <w:t>е</w:t>
      </w:r>
      <w:r w:rsidR="002E0076" w:rsidRPr="002E007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6A083D">
        <w:rPr>
          <w:rFonts w:ascii="Times New Roman" w:hAnsi="Times New Roman" w:cs="Times New Roman"/>
          <w:sz w:val="28"/>
          <w:szCs w:val="28"/>
        </w:rPr>
        <w:t>ы</w:t>
      </w:r>
      <w:r w:rsidR="00B80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7A4" w:rsidRDefault="00FD4CB7" w:rsidP="00FD4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60254" w:rsidRPr="00150629">
        <w:rPr>
          <w:rFonts w:ascii="Times New Roman" w:hAnsi="Times New Roman" w:cs="Times New Roman"/>
          <w:sz w:val="28"/>
          <w:szCs w:val="28"/>
        </w:rPr>
        <w:t xml:space="preserve">Налогоплательщик, </w:t>
      </w:r>
      <w:r w:rsidR="003B47A4">
        <w:rPr>
          <w:rFonts w:ascii="Times New Roman" w:hAnsi="Times New Roman" w:cs="Times New Roman"/>
          <w:sz w:val="28"/>
          <w:szCs w:val="28"/>
        </w:rPr>
        <w:t>при несогласии</w:t>
      </w:r>
      <w:r w:rsidR="00960254" w:rsidRPr="00150629">
        <w:rPr>
          <w:rFonts w:ascii="Times New Roman" w:hAnsi="Times New Roman" w:cs="Times New Roman"/>
          <w:sz w:val="28"/>
          <w:szCs w:val="28"/>
        </w:rPr>
        <w:t xml:space="preserve"> с результатами аудита или любого другого изменения оценки налоговых и</w:t>
      </w:r>
      <w:r w:rsidR="007F5D88" w:rsidRPr="00150629">
        <w:rPr>
          <w:rFonts w:ascii="Times New Roman" w:hAnsi="Times New Roman" w:cs="Times New Roman"/>
          <w:sz w:val="28"/>
          <w:szCs w:val="28"/>
        </w:rPr>
        <w:t>ли</w:t>
      </w:r>
      <w:r w:rsidR="00960254" w:rsidRPr="00150629">
        <w:rPr>
          <w:rFonts w:ascii="Times New Roman" w:hAnsi="Times New Roman" w:cs="Times New Roman"/>
          <w:sz w:val="28"/>
          <w:szCs w:val="28"/>
        </w:rPr>
        <w:t xml:space="preserve"> пенсионных обязательств</w:t>
      </w:r>
      <w:r w:rsidR="006A083D">
        <w:rPr>
          <w:rFonts w:ascii="Times New Roman" w:hAnsi="Times New Roman" w:cs="Times New Roman"/>
          <w:sz w:val="28"/>
          <w:szCs w:val="28"/>
        </w:rPr>
        <w:t>,</w:t>
      </w:r>
      <w:r w:rsidR="003B47A4">
        <w:rPr>
          <w:rFonts w:ascii="Times New Roman" w:hAnsi="Times New Roman" w:cs="Times New Roman"/>
          <w:sz w:val="28"/>
          <w:szCs w:val="28"/>
        </w:rPr>
        <w:t xml:space="preserve"> до обращения в Трибунал или суды обязан пройти процедуру обжалования</w:t>
      </w:r>
      <w:r w:rsidR="00960254" w:rsidRPr="00150629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3B47A4">
        <w:rPr>
          <w:rFonts w:ascii="Times New Roman" w:hAnsi="Times New Roman" w:cs="Times New Roman"/>
          <w:sz w:val="28"/>
          <w:szCs w:val="28"/>
        </w:rPr>
        <w:t>ах</w:t>
      </w:r>
      <w:r w:rsidR="00960254" w:rsidRPr="00150629">
        <w:rPr>
          <w:rFonts w:ascii="Times New Roman" w:hAnsi="Times New Roman" w:cs="Times New Roman"/>
          <w:sz w:val="28"/>
          <w:szCs w:val="28"/>
        </w:rPr>
        <w:t xml:space="preserve"> налоговой службы</w:t>
      </w:r>
      <w:r w:rsidR="003B47A4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="003B47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B47A4">
        <w:rPr>
          <w:rFonts w:ascii="Times New Roman" w:hAnsi="Times New Roman" w:cs="Times New Roman"/>
          <w:sz w:val="28"/>
          <w:szCs w:val="28"/>
        </w:rPr>
        <w:t xml:space="preserve"> законодательно не </w:t>
      </w:r>
      <w:r w:rsidR="006A083D">
        <w:rPr>
          <w:rFonts w:ascii="Times New Roman" w:hAnsi="Times New Roman" w:cs="Times New Roman"/>
          <w:sz w:val="28"/>
          <w:szCs w:val="28"/>
        </w:rPr>
        <w:t xml:space="preserve">регламентированы </w:t>
      </w:r>
      <w:r w:rsidR="003B47A4">
        <w:rPr>
          <w:rFonts w:ascii="Times New Roman" w:hAnsi="Times New Roman" w:cs="Times New Roman"/>
          <w:sz w:val="28"/>
          <w:szCs w:val="28"/>
        </w:rPr>
        <w:t>налоговые органы, в которые должен обратиться налогоплательщик.</w:t>
      </w:r>
    </w:p>
    <w:p w:rsidR="004A7FDC" w:rsidRPr="004A7FDC" w:rsidRDefault="004A7FDC" w:rsidP="00FD4CB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7FDC">
        <w:rPr>
          <w:rFonts w:ascii="Times New Roman" w:hAnsi="Times New Roman" w:cs="Times New Roman"/>
          <w:i/>
          <w:sz w:val="28"/>
          <w:szCs w:val="28"/>
        </w:rPr>
        <w:t>Обжалование в органах налоговой службы</w:t>
      </w:r>
    </w:p>
    <w:p w:rsidR="00960254" w:rsidRDefault="003B47A4" w:rsidP="003B4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подачи жалобы налогоплательщик может выбрать любую форму, фиксируются все обращения. </w:t>
      </w:r>
      <w:r w:rsidRPr="003B47A4">
        <w:rPr>
          <w:rFonts w:ascii="Times New Roman" w:hAnsi="Times New Roman" w:cs="Times New Roman"/>
          <w:sz w:val="28"/>
          <w:szCs w:val="28"/>
        </w:rPr>
        <w:t>В том числе, рассматриваются</w:t>
      </w:r>
      <w:r w:rsidR="00960254" w:rsidRPr="003B47A4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3B47A4">
        <w:rPr>
          <w:rFonts w:ascii="Times New Roman" w:hAnsi="Times New Roman" w:cs="Times New Roman"/>
          <w:sz w:val="28"/>
          <w:szCs w:val="28"/>
        </w:rPr>
        <w:t>, поданные</w:t>
      </w:r>
      <w:r w:rsidR="00960254" w:rsidRPr="003B47A4">
        <w:rPr>
          <w:rFonts w:ascii="Times New Roman" w:hAnsi="Times New Roman" w:cs="Times New Roman"/>
          <w:sz w:val="28"/>
          <w:szCs w:val="28"/>
        </w:rPr>
        <w:t xml:space="preserve"> по телефону, на бумажном носителе</w:t>
      </w:r>
      <w:r w:rsidRPr="003B47A4">
        <w:rPr>
          <w:rFonts w:ascii="Times New Roman" w:hAnsi="Times New Roman" w:cs="Times New Roman"/>
          <w:sz w:val="28"/>
          <w:szCs w:val="28"/>
        </w:rPr>
        <w:t>, в электронном виде на сайт (д</w:t>
      </w:r>
      <w:r w:rsidR="00960254" w:rsidRPr="003B47A4">
        <w:rPr>
          <w:rFonts w:ascii="Times New Roman" w:hAnsi="Times New Roman" w:cs="Times New Roman"/>
          <w:sz w:val="28"/>
          <w:szCs w:val="28"/>
        </w:rPr>
        <w:t xml:space="preserve">ля </w:t>
      </w:r>
      <w:r w:rsidRPr="003B47A4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960254" w:rsidRPr="003B47A4">
        <w:rPr>
          <w:rFonts w:ascii="Times New Roman" w:hAnsi="Times New Roman" w:cs="Times New Roman"/>
          <w:sz w:val="28"/>
          <w:szCs w:val="28"/>
        </w:rPr>
        <w:t>жалоб установлена единая форма</w:t>
      </w:r>
      <w:r w:rsidRPr="003B47A4">
        <w:rPr>
          <w:rFonts w:ascii="Times New Roman" w:hAnsi="Times New Roman" w:cs="Times New Roman"/>
          <w:sz w:val="28"/>
          <w:szCs w:val="28"/>
        </w:rPr>
        <w:t>)</w:t>
      </w:r>
      <w:r w:rsidR="00960254" w:rsidRPr="003B47A4">
        <w:rPr>
          <w:rFonts w:ascii="Times New Roman" w:hAnsi="Times New Roman" w:cs="Times New Roman"/>
          <w:sz w:val="28"/>
          <w:szCs w:val="28"/>
        </w:rPr>
        <w:t>.</w:t>
      </w:r>
    </w:p>
    <w:p w:rsidR="00F95E23" w:rsidRDefault="006F20DB" w:rsidP="003B4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D5F">
        <w:rPr>
          <w:rFonts w:ascii="Times New Roman" w:hAnsi="Times New Roman" w:cs="Times New Roman"/>
          <w:sz w:val="28"/>
          <w:szCs w:val="28"/>
        </w:rPr>
        <w:t>Основной сегмент обжалований приходится на физические лица – около 60 процентов и представителей малого бизнеса – около 30 процентов.</w:t>
      </w:r>
    </w:p>
    <w:p w:rsidR="00D31A8C" w:rsidRPr="00A6529D" w:rsidRDefault="009E5D35" w:rsidP="00A652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соблюдения независимых подходов при рассмотрении жалобы предусмотрено обязательное условие </w:t>
      </w:r>
      <w:r w:rsidRPr="009E5D35">
        <w:rPr>
          <w:rFonts w:ascii="Times New Roman" w:hAnsi="Times New Roman" w:cs="Times New Roman"/>
          <w:sz w:val="28"/>
          <w:szCs w:val="28"/>
        </w:rPr>
        <w:t>о невозможности ее рассмотрения должностным лицом, которое ранее участвовало в принятии обжалуемого решения.</w:t>
      </w:r>
      <w:r w:rsidR="00A6529D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963B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6529D">
        <w:rPr>
          <w:rFonts w:ascii="Times New Roman" w:hAnsi="Times New Roman" w:cs="Times New Roman"/>
          <w:sz w:val="28"/>
          <w:szCs w:val="28"/>
        </w:rPr>
        <w:t xml:space="preserve"> </w:t>
      </w:r>
      <w:r w:rsidR="00D31A8C" w:rsidRPr="00A6529D">
        <w:rPr>
          <w:rFonts w:ascii="Times New Roman" w:hAnsi="Times New Roman" w:cs="Times New Roman"/>
          <w:sz w:val="28"/>
          <w:szCs w:val="28"/>
        </w:rPr>
        <w:t xml:space="preserve">апелляции в общей структуре налоговой службы находятся в ветви, не соприкасающейся с подразделениями, решения которых могут быть обжалованы. </w:t>
      </w:r>
    </w:p>
    <w:p w:rsidR="006F20DB" w:rsidRDefault="00937EED" w:rsidP="003B4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309D">
        <w:rPr>
          <w:rFonts w:ascii="Times New Roman" w:hAnsi="Times New Roman" w:cs="Times New Roman"/>
          <w:sz w:val="28"/>
          <w:szCs w:val="28"/>
        </w:rPr>
        <w:t xml:space="preserve">Для налогоплательщиков процедура </w:t>
      </w:r>
      <w:r w:rsidR="004E10E3">
        <w:rPr>
          <w:rFonts w:ascii="Times New Roman" w:hAnsi="Times New Roman" w:cs="Times New Roman"/>
          <w:sz w:val="28"/>
          <w:szCs w:val="28"/>
        </w:rPr>
        <w:t xml:space="preserve">обжалования в органах налоговой службы </w:t>
      </w:r>
      <w:r w:rsidR="008D309D">
        <w:rPr>
          <w:rFonts w:ascii="Times New Roman" w:hAnsi="Times New Roman" w:cs="Times New Roman"/>
          <w:sz w:val="28"/>
          <w:szCs w:val="28"/>
        </w:rPr>
        <w:t>проста и понятна. Установлен</w:t>
      </w:r>
      <w:r w:rsidR="004D29C4">
        <w:rPr>
          <w:rFonts w:ascii="Times New Roman" w:hAnsi="Times New Roman" w:cs="Times New Roman"/>
          <w:sz w:val="28"/>
          <w:szCs w:val="28"/>
        </w:rPr>
        <w:t>ы</w:t>
      </w:r>
      <w:r w:rsidR="008D309D">
        <w:rPr>
          <w:rFonts w:ascii="Times New Roman" w:hAnsi="Times New Roman" w:cs="Times New Roman"/>
          <w:sz w:val="28"/>
          <w:szCs w:val="28"/>
        </w:rPr>
        <w:t xml:space="preserve"> срок </w:t>
      </w:r>
      <w:r w:rsidR="004D29C4">
        <w:rPr>
          <w:rFonts w:ascii="Times New Roman" w:hAnsi="Times New Roman" w:cs="Times New Roman"/>
          <w:sz w:val="28"/>
          <w:szCs w:val="28"/>
        </w:rPr>
        <w:t>подачи жалобы (60 дней), форма жалобы, срок рассмотрения жалобы (60 дней). Отсутствуют дополнительные процедуры в ходе рассмотрения апелляций (например: приостановление или продление сроков).</w:t>
      </w:r>
      <w:r w:rsidR="000728B2">
        <w:rPr>
          <w:rFonts w:ascii="Times New Roman" w:hAnsi="Times New Roman" w:cs="Times New Roman"/>
          <w:sz w:val="28"/>
          <w:szCs w:val="28"/>
        </w:rPr>
        <w:t xml:space="preserve"> Если решение не вынесено в установленный срок, то жалоба считается отклоненной и налогоплательщику пред</w:t>
      </w:r>
      <w:r w:rsidR="000A07A3">
        <w:rPr>
          <w:rFonts w:ascii="Times New Roman" w:hAnsi="Times New Roman" w:cs="Times New Roman"/>
          <w:sz w:val="28"/>
          <w:szCs w:val="28"/>
        </w:rPr>
        <w:t>оставляется право обратиться в Т</w:t>
      </w:r>
      <w:r w:rsidR="000728B2">
        <w:rPr>
          <w:rFonts w:ascii="Times New Roman" w:hAnsi="Times New Roman" w:cs="Times New Roman"/>
          <w:sz w:val="28"/>
          <w:szCs w:val="28"/>
        </w:rPr>
        <w:t>рибунал или суд.</w:t>
      </w:r>
    </w:p>
    <w:p w:rsidR="00DF2FE3" w:rsidRDefault="00DF2FE3" w:rsidP="003B4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этом, налоговая служба Австралии предпринимает меры по предотвращению налоговых споров. Наряду с уже известными и широко используемыми в мировой практике мерами, такими как, предварительные ценовые соглашения и соглашения по размеру налога, применяются новые формы. </w:t>
      </w:r>
    </w:p>
    <w:p w:rsidR="00215A2D" w:rsidRDefault="005B0BF8" w:rsidP="003B47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2FE3">
        <w:rPr>
          <w:rFonts w:ascii="Times New Roman" w:hAnsi="Times New Roman" w:cs="Times New Roman"/>
          <w:sz w:val="28"/>
          <w:szCs w:val="28"/>
        </w:rPr>
        <w:t>Так, в</w:t>
      </w:r>
      <w:r w:rsidR="00B31DF2">
        <w:rPr>
          <w:rFonts w:ascii="Times New Roman" w:hAnsi="Times New Roman" w:cs="Times New Roman"/>
          <w:sz w:val="28"/>
          <w:szCs w:val="28"/>
        </w:rPr>
        <w:t xml:space="preserve"> режиме «пилотного проекта» </w:t>
      </w:r>
      <w:r w:rsidR="006F3A02">
        <w:rPr>
          <w:rFonts w:ascii="Times New Roman" w:hAnsi="Times New Roman" w:cs="Times New Roman"/>
          <w:sz w:val="28"/>
          <w:szCs w:val="28"/>
        </w:rPr>
        <w:t xml:space="preserve">с 2013 года </w:t>
      </w:r>
      <w:r w:rsidR="0061007C">
        <w:rPr>
          <w:rFonts w:ascii="Times New Roman" w:hAnsi="Times New Roman" w:cs="Times New Roman"/>
          <w:sz w:val="28"/>
          <w:szCs w:val="28"/>
        </w:rPr>
        <w:t xml:space="preserve">для крупных налогоплательщиков введена возможность предварительного обсуждения изменений в налоговую отчетность или подачи возражений. В частности, </w:t>
      </w:r>
      <w:r w:rsidR="0061007C">
        <w:rPr>
          <w:rFonts w:ascii="Times New Roman" w:hAnsi="Times New Roman" w:cs="Times New Roman"/>
          <w:sz w:val="28"/>
          <w:szCs w:val="28"/>
        </w:rPr>
        <w:lastRenderedPageBreak/>
        <w:t>налогоплательщик направляет заявку на электронный адрес налоговой службы с кратким изложением сути вопроса. После обращения в течение двух-трех недель проводится встреча представителей налоговой службы и налогоплательщика.</w:t>
      </w:r>
      <w:r w:rsidR="009F20B9">
        <w:rPr>
          <w:rFonts w:ascii="Times New Roman" w:hAnsi="Times New Roman" w:cs="Times New Roman"/>
          <w:sz w:val="28"/>
          <w:szCs w:val="28"/>
        </w:rPr>
        <w:t xml:space="preserve"> Совместно прорабатываются возможные последствия</w:t>
      </w:r>
      <w:r w:rsidR="00BA7788">
        <w:rPr>
          <w:rFonts w:ascii="Times New Roman" w:hAnsi="Times New Roman" w:cs="Times New Roman"/>
          <w:sz w:val="28"/>
          <w:szCs w:val="28"/>
        </w:rPr>
        <w:t xml:space="preserve"> изменений в отчетность или обжалования. С одной стороны, эта процедура</w:t>
      </w:r>
      <w:r w:rsidR="00522009">
        <w:rPr>
          <w:rFonts w:ascii="Times New Roman" w:hAnsi="Times New Roman" w:cs="Times New Roman"/>
          <w:sz w:val="28"/>
          <w:szCs w:val="28"/>
        </w:rPr>
        <w:t xml:space="preserve">, отчасти снижает вероятность инициирования обжалования, </w:t>
      </w:r>
      <w:r w:rsidR="00BA7788">
        <w:rPr>
          <w:rFonts w:ascii="Times New Roman" w:hAnsi="Times New Roman" w:cs="Times New Roman"/>
          <w:sz w:val="28"/>
          <w:szCs w:val="28"/>
        </w:rPr>
        <w:t>помогает выбрать лучшее решение</w:t>
      </w:r>
      <w:r w:rsidR="00522009">
        <w:rPr>
          <w:rFonts w:ascii="Times New Roman" w:hAnsi="Times New Roman" w:cs="Times New Roman"/>
          <w:sz w:val="28"/>
          <w:szCs w:val="28"/>
        </w:rPr>
        <w:t>, с другой стороны, налогоплательщик получает рекомендации по поводу сведений, необходимых для подачи возражений.</w:t>
      </w:r>
    </w:p>
    <w:p w:rsidR="004E10E3" w:rsidRDefault="00215A2D" w:rsidP="00215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для крупных налогоплательщиков </w:t>
      </w:r>
      <w:r w:rsidR="00522732">
        <w:rPr>
          <w:rFonts w:ascii="Times New Roman" w:hAnsi="Times New Roman" w:cs="Times New Roman"/>
          <w:sz w:val="28"/>
          <w:szCs w:val="28"/>
        </w:rPr>
        <w:t xml:space="preserve">с 2013 года </w:t>
      </w:r>
      <w:r w:rsidR="00757660">
        <w:rPr>
          <w:rFonts w:ascii="Times New Roman" w:hAnsi="Times New Roman" w:cs="Times New Roman"/>
          <w:sz w:val="28"/>
          <w:szCs w:val="28"/>
        </w:rPr>
        <w:t xml:space="preserve">введена новая услуга – независимый пересмотр результатов аудита. </w:t>
      </w:r>
      <w:r w:rsidR="009803CD">
        <w:rPr>
          <w:rFonts w:ascii="Times New Roman" w:hAnsi="Times New Roman" w:cs="Times New Roman"/>
          <w:sz w:val="28"/>
          <w:szCs w:val="28"/>
        </w:rPr>
        <w:t xml:space="preserve">Налогоплательщик может воспользоваться этой услугой один раз. Для этого, в течение 10 дней после вынесения решения по результатам аудита налогоплательщик подает запрос. </w:t>
      </w:r>
      <w:r w:rsidR="00E9609E">
        <w:rPr>
          <w:rFonts w:ascii="Times New Roman" w:hAnsi="Times New Roman" w:cs="Times New Roman"/>
          <w:sz w:val="28"/>
          <w:szCs w:val="28"/>
        </w:rPr>
        <w:t xml:space="preserve">Проводится новая проверка </w:t>
      </w:r>
      <w:r w:rsidR="006A083D">
        <w:rPr>
          <w:rFonts w:ascii="Times New Roman" w:hAnsi="Times New Roman" w:cs="Times New Roman"/>
          <w:sz w:val="28"/>
          <w:szCs w:val="28"/>
        </w:rPr>
        <w:t xml:space="preserve">независимым </w:t>
      </w:r>
      <w:r w:rsidR="00E9609E">
        <w:rPr>
          <w:rFonts w:ascii="Times New Roman" w:hAnsi="Times New Roman" w:cs="Times New Roman"/>
          <w:sz w:val="28"/>
          <w:szCs w:val="28"/>
        </w:rPr>
        <w:t>инспектором</w:t>
      </w:r>
      <w:r w:rsidR="00A55337" w:rsidRPr="00A55337">
        <w:rPr>
          <w:sz w:val="27"/>
          <w:szCs w:val="27"/>
        </w:rPr>
        <w:t xml:space="preserve"> </w:t>
      </w:r>
      <w:r w:rsidR="00A55337" w:rsidRPr="00A55337">
        <w:rPr>
          <w:rFonts w:ascii="Times New Roman" w:hAnsi="Times New Roman" w:cs="Times New Roman"/>
          <w:sz w:val="28"/>
          <w:szCs w:val="28"/>
        </w:rPr>
        <w:t>(срок не более  60 дней).</w:t>
      </w:r>
      <w:r w:rsidR="006A083D" w:rsidRPr="00A55337">
        <w:rPr>
          <w:rFonts w:ascii="Times New Roman" w:hAnsi="Times New Roman" w:cs="Times New Roman"/>
          <w:sz w:val="28"/>
          <w:szCs w:val="28"/>
        </w:rPr>
        <w:t xml:space="preserve"> </w:t>
      </w:r>
      <w:r w:rsidR="006A083D">
        <w:rPr>
          <w:rFonts w:ascii="Times New Roman" w:hAnsi="Times New Roman" w:cs="Times New Roman"/>
          <w:sz w:val="28"/>
          <w:szCs w:val="28"/>
        </w:rPr>
        <w:t>По окончании независимого аудита п</w:t>
      </w:r>
      <w:r w:rsidR="009803CD">
        <w:rPr>
          <w:rFonts w:ascii="Times New Roman" w:hAnsi="Times New Roman" w:cs="Times New Roman"/>
          <w:sz w:val="28"/>
          <w:szCs w:val="28"/>
        </w:rPr>
        <w:t>роводится конференция с участием аудитора и налогоплательщика.</w:t>
      </w:r>
      <w:r w:rsidR="00E9609E">
        <w:rPr>
          <w:rFonts w:ascii="Times New Roman" w:hAnsi="Times New Roman" w:cs="Times New Roman"/>
          <w:sz w:val="28"/>
          <w:szCs w:val="28"/>
        </w:rPr>
        <w:t xml:space="preserve"> В результате органом налоговой службы выносится </w:t>
      </w:r>
      <w:r w:rsidR="009803CD">
        <w:rPr>
          <w:rFonts w:ascii="Times New Roman" w:hAnsi="Times New Roman" w:cs="Times New Roman"/>
          <w:sz w:val="28"/>
          <w:szCs w:val="28"/>
        </w:rPr>
        <w:t xml:space="preserve"> </w:t>
      </w:r>
      <w:r w:rsidR="00E9609E">
        <w:rPr>
          <w:rFonts w:ascii="Times New Roman" w:hAnsi="Times New Roman" w:cs="Times New Roman"/>
          <w:sz w:val="28"/>
          <w:szCs w:val="28"/>
        </w:rPr>
        <w:t>окончательное решение.</w:t>
      </w:r>
    </w:p>
    <w:p w:rsidR="004A7FDC" w:rsidRPr="004A7FDC" w:rsidRDefault="004A7FDC" w:rsidP="00215A2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FDC">
        <w:rPr>
          <w:rFonts w:ascii="Times New Roman" w:hAnsi="Times New Roman" w:cs="Times New Roman"/>
          <w:i/>
          <w:sz w:val="28"/>
          <w:szCs w:val="28"/>
        </w:rPr>
        <w:t>Альтернативные методы разрешения налоговых споров.</w:t>
      </w:r>
    </w:p>
    <w:p w:rsidR="00AF26A2" w:rsidRPr="00563789" w:rsidRDefault="00A55337" w:rsidP="00563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общепринятых апелляций </w:t>
      </w:r>
      <w:r w:rsidR="00086F90">
        <w:rPr>
          <w:rFonts w:ascii="Times New Roman" w:hAnsi="Times New Roman" w:cs="Times New Roman"/>
          <w:sz w:val="28"/>
          <w:szCs w:val="28"/>
        </w:rPr>
        <w:t>до</w:t>
      </w:r>
      <w:r w:rsidR="00563789">
        <w:rPr>
          <w:rFonts w:ascii="Times New Roman" w:hAnsi="Times New Roman" w:cs="Times New Roman"/>
          <w:sz w:val="28"/>
          <w:szCs w:val="28"/>
        </w:rPr>
        <w:t xml:space="preserve"> </w:t>
      </w:r>
      <w:r w:rsidR="00563789" w:rsidRPr="00563789">
        <w:rPr>
          <w:rFonts w:ascii="Times New Roman" w:hAnsi="Times New Roman" w:cs="Times New Roman"/>
          <w:sz w:val="28"/>
          <w:szCs w:val="28"/>
        </w:rPr>
        <w:t>на</w:t>
      </w:r>
      <w:r w:rsidR="00AF26A2" w:rsidRPr="00563789">
        <w:rPr>
          <w:rFonts w:ascii="Times New Roman" w:hAnsi="Times New Roman" w:cs="Times New Roman"/>
          <w:sz w:val="28"/>
          <w:szCs w:val="28"/>
        </w:rPr>
        <w:t>чала судебного разбирательства возможно применение альтернативных методов разрешения налоговых споров, например, после проведения налоговой проверки или на стадии внутреннего обзора.</w:t>
      </w:r>
    </w:p>
    <w:p w:rsidR="00AF26A2" w:rsidRPr="00563789" w:rsidRDefault="00AF26A2" w:rsidP="005637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89">
        <w:rPr>
          <w:rFonts w:ascii="Times New Roman" w:hAnsi="Times New Roman" w:cs="Times New Roman"/>
          <w:sz w:val="28"/>
          <w:szCs w:val="28"/>
          <w:u w:val="single"/>
        </w:rPr>
        <w:t>Переговоры</w:t>
      </w:r>
      <w:r w:rsidR="0056378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475E5" w:rsidRPr="004475E5">
        <w:rPr>
          <w:rFonts w:ascii="Times New Roman" w:hAnsi="Times New Roman" w:cs="Times New Roman"/>
          <w:sz w:val="28"/>
          <w:szCs w:val="28"/>
        </w:rPr>
        <w:t xml:space="preserve"> </w:t>
      </w:r>
      <w:r w:rsidRPr="00563789">
        <w:rPr>
          <w:rFonts w:ascii="Times New Roman" w:hAnsi="Times New Roman" w:cs="Times New Roman"/>
          <w:sz w:val="28"/>
          <w:szCs w:val="28"/>
        </w:rPr>
        <w:t xml:space="preserve">Переговоры могут быть разными в зависимости от ситуации, например, в ходе прямых переговоров обе стороны говорят сами за себя, в то время как в ходе непрямых переговоров обоим сторонам могут помогать представители, юристы (барристеры, солиситоры) и т.д. Кроме того, есть возможность привлечь лицо, которое помогает вести переговоры, но не принимает чью-либо сторону. В ходе переговоров обе стороны спора несут ответственность за принятие решения. </w:t>
      </w:r>
    </w:p>
    <w:p w:rsidR="00AF26A2" w:rsidRPr="00563789" w:rsidRDefault="00AF26A2" w:rsidP="00563789">
      <w:pPr>
        <w:spacing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63789">
        <w:rPr>
          <w:rFonts w:ascii="Times New Roman" w:hAnsi="Times New Roman" w:cs="Times New Roman"/>
          <w:sz w:val="28"/>
          <w:szCs w:val="28"/>
          <w:u w:val="single"/>
        </w:rPr>
        <w:t>Конференции по делу.</w:t>
      </w:r>
      <w:r w:rsidRPr="00936237">
        <w:rPr>
          <w:rFonts w:ascii="Times New Roman" w:hAnsi="Times New Roman" w:cs="Times New Roman"/>
          <w:sz w:val="28"/>
          <w:szCs w:val="28"/>
        </w:rPr>
        <w:t xml:space="preserve"> </w:t>
      </w:r>
      <w:r w:rsidRPr="00563789">
        <w:rPr>
          <w:rFonts w:ascii="Times New Roman" w:hAnsi="Times New Roman" w:cs="Times New Roman"/>
          <w:sz w:val="28"/>
          <w:szCs w:val="28"/>
        </w:rPr>
        <w:t xml:space="preserve">К конференциям по делу относятся дискуссии, между налогоплательщиками, их представителями и соответствующими налоговыми должностными лицами. Конференции по делу, как правило, заранее планируются с согласованной повесткой дня. Они могут проходить в виде встречи или по телефону. </w:t>
      </w:r>
    </w:p>
    <w:p w:rsidR="00563789" w:rsidRDefault="00AF26A2" w:rsidP="00563789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63789">
        <w:rPr>
          <w:rFonts w:ascii="Times New Roman" w:hAnsi="Times New Roman" w:cs="Times New Roman"/>
          <w:sz w:val="28"/>
          <w:szCs w:val="28"/>
        </w:rPr>
        <w:t xml:space="preserve">В конференциях по делу часто задействован более чем </w:t>
      </w:r>
      <w:r w:rsidR="00936237">
        <w:rPr>
          <w:rFonts w:ascii="Times New Roman" w:hAnsi="Times New Roman" w:cs="Times New Roman"/>
          <w:sz w:val="28"/>
          <w:szCs w:val="28"/>
        </w:rPr>
        <w:t>один сотрудник налоговой службы</w:t>
      </w:r>
      <w:r w:rsidRPr="00563789">
        <w:rPr>
          <w:rFonts w:ascii="Times New Roman" w:hAnsi="Times New Roman" w:cs="Times New Roman"/>
          <w:sz w:val="28"/>
          <w:szCs w:val="28"/>
        </w:rPr>
        <w:t xml:space="preserve">. </w:t>
      </w:r>
      <w:r w:rsidR="00936237">
        <w:rPr>
          <w:rFonts w:ascii="Times New Roman" w:hAnsi="Times New Roman" w:cs="Times New Roman"/>
          <w:sz w:val="28"/>
          <w:szCs w:val="28"/>
        </w:rPr>
        <w:t>Могут</w:t>
      </w:r>
      <w:r w:rsidRPr="00563789">
        <w:rPr>
          <w:rFonts w:ascii="Times New Roman" w:hAnsi="Times New Roman" w:cs="Times New Roman"/>
          <w:sz w:val="28"/>
          <w:szCs w:val="28"/>
        </w:rPr>
        <w:t xml:space="preserve"> присутствовать </w:t>
      </w:r>
      <w:r w:rsidR="00936237">
        <w:rPr>
          <w:rFonts w:ascii="Times New Roman" w:hAnsi="Times New Roman" w:cs="Times New Roman"/>
          <w:sz w:val="28"/>
          <w:szCs w:val="28"/>
        </w:rPr>
        <w:t xml:space="preserve">независимые </w:t>
      </w:r>
      <w:r w:rsidRPr="00563789">
        <w:rPr>
          <w:rFonts w:ascii="Times New Roman" w:hAnsi="Times New Roman" w:cs="Times New Roman"/>
          <w:sz w:val="28"/>
          <w:szCs w:val="28"/>
        </w:rPr>
        <w:t>сотрудник</w:t>
      </w:r>
      <w:r w:rsidR="00936237">
        <w:rPr>
          <w:rFonts w:ascii="Times New Roman" w:hAnsi="Times New Roman" w:cs="Times New Roman"/>
          <w:sz w:val="28"/>
          <w:szCs w:val="28"/>
        </w:rPr>
        <w:t>и</w:t>
      </w:r>
      <w:r w:rsidRPr="00563789">
        <w:rPr>
          <w:rFonts w:ascii="Times New Roman" w:hAnsi="Times New Roman" w:cs="Times New Roman"/>
          <w:sz w:val="28"/>
          <w:szCs w:val="28"/>
        </w:rPr>
        <w:t>, действуя в качестве посредника. Посредник должен участвовать в планировании слушаний и понимать цели слушаний. Роль посредника заключается в том, чтобы направлять стороны в их дискуссиях.</w:t>
      </w:r>
    </w:p>
    <w:p w:rsidR="00AF26A2" w:rsidRPr="00563789" w:rsidRDefault="00AF26A2" w:rsidP="00563789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63789">
        <w:rPr>
          <w:rFonts w:ascii="Times New Roman" w:hAnsi="Times New Roman" w:cs="Times New Roman"/>
          <w:sz w:val="28"/>
          <w:szCs w:val="28"/>
          <w:u w:val="single"/>
        </w:rPr>
        <w:t>Медиация</w:t>
      </w:r>
      <w:r w:rsidR="0056378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63789" w:rsidRPr="00951CC9">
        <w:rPr>
          <w:rFonts w:ascii="Times New Roman" w:hAnsi="Times New Roman" w:cs="Times New Roman"/>
          <w:sz w:val="28"/>
          <w:szCs w:val="28"/>
        </w:rPr>
        <w:t xml:space="preserve"> </w:t>
      </w:r>
      <w:r w:rsidR="00563789" w:rsidRPr="00563789">
        <w:rPr>
          <w:rFonts w:ascii="Times New Roman" w:hAnsi="Times New Roman" w:cs="Times New Roman"/>
          <w:sz w:val="28"/>
          <w:szCs w:val="28"/>
        </w:rPr>
        <w:t>П</w:t>
      </w:r>
      <w:r w:rsidRPr="00563789">
        <w:rPr>
          <w:rFonts w:ascii="Times New Roman" w:hAnsi="Times New Roman" w:cs="Times New Roman"/>
          <w:sz w:val="28"/>
          <w:szCs w:val="28"/>
        </w:rPr>
        <w:t>редставляет собой процесс</w:t>
      </w:r>
      <w:r w:rsidR="0039089A">
        <w:rPr>
          <w:rFonts w:ascii="Times New Roman" w:hAnsi="Times New Roman" w:cs="Times New Roman"/>
          <w:sz w:val="28"/>
          <w:szCs w:val="28"/>
        </w:rPr>
        <w:t>,</w:t>
      </w:r>
      <w:r w:rsidRPr="00563789">
        <w:rPr>
          <w:rFonts w:ascii="Times New Roman" w:hAnsi="Times New Roman" w:cs="Times New Roman"/>
          <w:sz w:val="28"/>
          <w:szCs w:val="28"/>
        </w:rPr>
        <w:t xml:space="preserve"> управляемый исполнителем разрешения спора, который называется медиатором. Медиатор помогает участникам представить свои точки зрения и факты. Они также помогают участникам в выявлении проблем в споре, выработке опций и попытке достичь соглашения. Медиатор не дает рекомендации и не принимает решение на основании фактов, касающихся спора или его результатов. </w:t>
      </w:r>
      <w:r w:rsidR="0095694C">
        <w:rPr>
          <w:rFonts w:ascii="Times New Roman" w:hAnsi="Times New Roman" w:cs="Times New Roman"/>
          <w:sz w:val="28"/>
          <w:szCs w:val="28"/>
        </w:rPr>
        <w:lastRenderedPageBreak/>
        <w:t>Медиатор может</w:t>
      </w:r>
      <w:r w:rsidRPr="00563789">
        <w:rPr>
          <w:rFonts w:ascii="Times New Roman" w:hAnsi="Times New Roman" w:cs="Times New Roman"/>
          <w:sz w:val="28"/>
          <w:szCs w:val="28"/>
        </w:rPr>
        <w:t xml:space="preserve"> давать рекомендации по самому процессу медиации или по способу его выбора.</w:t>
      </w:r>
    </w:p>
    <w:p w:rsidR="00AF26A2" w:rsidRPr="00563789" w:rsidRDefault="00AF26A2" w:rsidP="00563789">
      <w:pPr>
        <w:spacing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63789">
        <w:rPr>
          <w:rFonts w:ascii="Times New Roman" w:hAnsi="Times New Roman" w:cs="Times New Roman"/>
          <w:sz w:val="28"/>
          <w:szCs w:val="28"/>
          <w:u w:val="single"/>
        </w:rPr>
        <w:t>Примирение</w:t>
      </w:r>
      <w:r w:rsidRPr="00563789">
        <w:rPr>
          <w:rFonts w:ascii="Times New Roman" w:hAnsi="Times New Roman" w:cs="Times New Roman"/>
          <w:sz w:val="28"/>
          <w:szCs w:val="28"/>
        </w:rPr>
        <w:t xml:space="preserve"> - это процесс, управляемый исполнителем разрешения спора, называемым мировым посредником. Мировой посредник оказывает содействие участникам в определении вопросов спора, разработке опций и в достижении соглашения. Мировой посредник предоставляет консультации по спорным вопросам и варианты их решения</w:t>
      </w:r>
      <w:r w:rsidR="00C760B0">
        <w:rPr>
          <w:rFonts w:ascii="Times New Roman" w:hAnsi="Times New Roman" w:cs="Times New Roman"/>
          <w:sz w:val="28"/>
          <w:szCs w:val="28"/>
        </w:rPr>
        <w:t>,</w:t>
      </w:r>
      <w:r w:rsidRPr="00563789">
        <w:rPr>
          <w:rFonts w:ascii="Times New Roman" w:hAnsi="Times New Roman" w:cs="Times New Roman"/>
          <w:sz w:val="28"/>
          <w:szCs w:val="28"/>
        </w:rPr>
        <w:t xml:space="preserve"> может предоставлять консультации по техническим и правовым вопросам. </w:t>
      </w:r>
      <w:r w:rsidR="00C760B0" w:rsidRPr="00563789">
        <w:rPr>
          <w:rFonts w:ascii="Times New Roman" w:hAnsi="Times New Roman" w:cs="Times New Roman"/>
          <w:sz w:val="28"/>
          <w:szCs w:val="28"/>
        </w:rPr>
        <w:t>Посредник может иметь профессиональные знания по предмету спора</w:t>
      </w:r>
      <w:r w:rsidR="00C760B0">
        <w:rPr>
          <w:rFonts w:ascii="Times New Roman" w:hAnsi="Times New Roman" w:cs="Times New Roman"/>
          <w:sz w:val="28"/>
          <w:szCs w:val="28"/>
        </w:rPr>
        <w:t xml:space="preserve">, но не </w:t>
      </w:r>
      <w:r w:rsidRPr="00563789">
        <w:rPr>
          <w:rFonts w:ascii="Times New Roman" w:hAnsi="Times New Roman" w:cs="Times New Roman"/>
          <w:sz w:val="28"/>
          <w:szCs w:val="28"/>
        </w:rPr>
        <w:t>принима</w:t>
      </w:r>
      <w:r w:rsidR="00C760B0">
        <w:rPr>
          <w:rFonts w:ascii="Times New Roman" w:hAnsi="Times New Roman" w:cs="Times New Roman"/>
          <w:sz w:val="28"/>
          <w:szCs w:val="28"/>
        </w:rPr>
        <w:t>е</w:t>
      </w:r>
      <w:r w:rsidRPr="00563789">
        <w:rPr>
          <w:rFonts w:ascii="Times New Roman" w:hAnsi="Times New Roman" w:cs="Times New Roman"/>
          <w:sz w:val="28"/>
          <w:szCs w:val="28"/>
        </w:rPr>
        <w:t xml:space="preserve">т решение </w:t>
      </w:r>
      <w:r w:rsidR="00C760B0">
        <w:rPr>
          <w:rFonts w:ascii="Times New Roman" w:hAnsi="Times New Roman" w:cs="Times New Roman"/>
          <w:sz w:val="28"/>
          <w:szCs w:val="28"/>
        </w:rPr>
        <w:t>п</w:t>
      </w:r>
      <w:r w:rsidRPr="00563789">
        <w:rPr>
          <w:rFonts w:ascii="Times New Roman" w:hAnsi="Times New Roman" w:cs="Times New Roman"/>
          <w:sz w:val="28"/>
          <w:szCs w:val="28"/>
        </w:rPr>
        <w:t>о</w:t>
      </w:r>
      <w:r w:rsidR="00C760B0">
        <w:rPr>
          <w:rFonts w:ascii="Times New Roman" w:hAnsi="Times New Roman" w:cs="Times New Roman"/>
          <w:sz w:val="28"/>
          <w:szCs w:val="28"/>
        </w:rPr>
        <w:t xml:space="preserve"> </w:t>
      </w:r>
      <w:r w:rsidRPr="00563789">
        <w:rPr>
          <w:rFonts w:ascii="Times New Roman" w:hAnsi="Times New Roman" w:cs="Times New Roman"/>
          <w:sz w:val="28"/>
          <w:szCs w:val="28"/>
        </w:rPr>
        <w:t>спор</w:t>
      </w:r>
      <w:r w:rsidR="0039089A">
        <w:rPr>
          <w:rFonts w:ascii="Times New Roman" w:hAnsi="Times New Roman" w:cs="Times New Roman"/>
          <w:sz w:val="28"/>
          <w:szCs w:val="28"/>
        </w:rPr>
        <w:t>у</w:t>
      </w:r>
      <w:r w:rsidRPr="005637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6A2" w:rsidRPr="00563789" w:rsidRDefault="00AF26A2" w:rsidP="00563789">
      <w:pPr>
        <w:spacing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63789">
        <w:rPr>
          <w:rFonts w:ascii="Times New Roman" w:hAnsi="Times New Roman" w:cs="Times New Roman"/>
          <w:sz w:val="28"/>
          <w:szCs w:val="28"/>
          <w:u w:val="single"/>
        </w:rPr>
        <w:t>Нейтральная оценка</w:t>
      </w:r>
      <w:r w:rsidRPr="00C760B0">
        <w:rPr>
          <w:rFonts w:ascii="Times New Roman" w:hAnsi="Times New Roman" w:cs="Times New Roman"/>
          <w:sz w:val="28"/>
          <w:szCs w:val="28"/>
        </w:rPr>
        <w:t xml:space="preserve"> </w:t>
      </w:r>
      <w:r w:rsidRPr="00563789">
        <w:rPr>
          <w:rFonts w:ascii="Times New Roman" w:hAnsi="Times New Roman" w:cs="Times New Roman"/>
          <w:sz w:val="28"/>
          <w:szCs w:val="28"/>
        </w:rPr>
        <w:t xml:space="preserve">- это процесс, при котором участники представляют </w:t>
      </w:r>
      <w:r w:rsidR="00BB7F35" w:rsidRPr="00563789">
        <w:rPr>
          <w:rFonts w:ascii="Times New Roman" w:hAnsi="Times New Roman" w:cs="Times New Roman"/>
          <w:sz w:val="28"/>
          <w:szCs w:val="28"/>
        </w:rPr>
        <w:t>исполнителю урегулирования спора (оценщик</w:t>
      </w:r>
      <w:r w:rsidR="00EF7246">
        <w:rPr>
          <w:rFonts w:ascii="Times New Roman" w:hAnsi="Times New Roman" w:cs="Times New Roman"/>
          <w:sz w:val="28"/>
          <w:szCs w:val="28"/>
        </w:rPr>
        <w:t>у</w:t>
      </w:r>
      <w:r w:rsidR="00BB7F35" w:rsidRPr="00563789">
        <w:rPr>
          <w:rFonts w:ascii="Times New Roman" w:hAnsi="Times New Roman" w:cs="Times New Roman"/>
          <w:sz w:val="28"/>
          <w:szCs w:val="28"/>
        </w:rPr>
        <w:t xml:space="preserve">) </w:t>
      </w:r>
      <w:r w:rsidRPr="00563789">
        <w:rPr>
          <w:rFonts w:ascii="Times New Roman" w:hAnsi="Times New Roman" w:cs="Times New Roman"/>
          <w:sz w:val="28"/>
          <w:szCs w:val="28"/>
        </w:rPr>
        <w:t>свои точки зрения и факты</w:t>
      </w:r>
      <w:r w:rsidR="00BB7F35">
        <w:rPr>
          <w:rFonts w:ascii="Times New Roman" w:hAnsi="Times New Roman" w:cs="Times New Roman"/>
          <w:sz w:val="28"/>
          <w:szCs w:val="28"/>
        </w:rPr>
        <w:t>. Оценщик</w:t>
      </w:r>
      <w:r w:rsidRPr="00563789">
        <w:rPr>
          <w:rFonts w:ascii="Times New Roman" w:hAnsi="Times New Roman" w:cs="Times New Roman"/>
          <w:sz w:val="28"/>
          <w:szCs w:val="28"/>
        </w:rPr>
        <w:t xml:space="preserve"> оценивает ключевые вопросы в споре, и предоставляет свое мнение в отношении наиболее эффективных путей решения проблемы. Оценщик не принимает решение по спорным фактам, но может </w:t>
      </w:r>
      <w:r w:rsidR="00BB7F35">
        <w:rPr>
          <w:rFonts w:ascii="Times New Roman" w:hAnsi="Times New Roman" w:cs="Times New Roman"/>
          <w:sz w:val="28"/>
          <w:szCs w:val="28"/>
        </w:rPr>
        <w:t>представить видение</w:t>
      </w:r>
      <w:r w:rsidRPr="00563789">
        <w:rPr>
          <w:rFonts w:ascii="Times New Roman" w:hAnsi="Times New Roman" w:cs="Times New Roman"/>
          <w:sz w:val="28"/>
          <w:szCs w:val="28"/>
        </w:rPr>
        <w:t xml:space="preserve"> о </w:t>
      </w:r>
      <w:r w:rsidR="00BB7F35">
        <w:rPr>
          <w:rFonts w:ascii="Times New Roman" w:hAnsi="Times New Roman" w:cs="Times New Roman"/>
          <w:sz w:val="28"/>
          <w:szCs w:val="28"/>
        </w:rPr>
        <w:t>возможном решении</w:t>
      </w:r>
      <w:r w:rsidRPr="00563789">
        <w:rPr>
          <w:rFonts w:ascii="Times New Roman" w:hAnsi="Times New Roman" w:cs="Times New Roman"/>
          <w:sz w:val="28"/>
          <w:szCs w:val="28"/>
        </w:rPr>
        <w:t xml:space="preserve"> суд</w:t>
      </w:r>
      <w:r w:rsidR="00BB7F35">
        <w:rPr>
          <w:rFonts w:ascii="Times New Roman" w:hAnsi="Times New Roman" w:cs="Times New Roman"/>
          <w:sz w:val="28"/>
          <w:szCs w:val="28"/>
        </w:rPr>
        <w:t>а</w:t>
      </w:r>
      <w:r w:rsidR="00EF7246">
        <w:rPr>
          <w:rFonts w:ascii="Times New Roman" w:hAnsi="Times New Roman" w:cs="Times New Roman"/>
          <w:sz w:val="28"/>
          <w:szCs w:val="28"/>
        </w:rPr>
        <w:t xml:space="preserve"> или Т</w:t>
      </w:r>
      <w:r w:rsidRPr="00563789">
        <w:rPr>
          <w:rFonts w:ascii="Times New Roman" w:hAnsi="Times New Roman" w:cs="Times New Roman"/>
          <w:sz w:val="28"/>
          <w:szCs w:val="28"/>
        </w:rPr>
        <w:t>рибунал</w:t>
      </w:r>
      <w:r w:rsidR="00BB7F35">
        <w:rPr>
          <w:rFonts w:ascii="Times New Roman" w:hAnsi="Times New Roman" w:cs="Times New Roman"/>
          <w:sz w:val="28"/>
          <w:szCs w:val="28"/>
        </w:rPr>
        <w:t>а</w:t>
      </w:r>
      <w:r w:rsidR="00EF7246">
        <w:rPr>
          <w:rFonts w:ascii="Times New Roman" w:hAnsi="Times New Roman" w:cs="Times New Roman"/>
          <w:sz w:val="28"/>
          <w:szCs w:val="28"/>
        </w:rPr>
        <w:t>.</w:t>
      </w:r>
      <w:r w:rsidRPr="00563789">
        <w:rPr>
          <w:rFonts w:ascii="Times New Roman" w:hAnsi="Times New Roman" w:cs="Times New Roman"/>
          <w:sz w:val="28"/>
          <w:szCs w:val="28"/>
        </w:rPr>
        <w:t xml:space="preserve"> Нейтральная оценка может проводиться в письменной форме. В этом случае каждый из участников представляет оценщику документы, которые объясняют спор. Оценщик затем предоставляет всем участникам письменные консультации по спору.</w:t>
      </w:r>
    </w:p>
    <w:p w:rsidR="00AF26A2" w:rsidRPr="00563789" w:rsidRDefault="00AF26A2" w:rsidP="00563789">
      <w:pPr>
        <w:spacing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63789">
        <w:rPr>
          <w:rFonts w:ascii="Times New Roman" w:hAnsi="Times New Roman" w:cs="Times New Roman"/>
          <w:sz w:val="28"/>
          <w:szCs w:val="28"/>
          <w:u w:val="single"/>
        </w:rPr>
        <w:t>Омбудсмен.</w:t>
      </w:r>
      <w:r w:rsidRPr="00580436">
        <w:rPr>
          <w:rFonts w:ascii="Times New Roman" w:hAnsi="Times New Roman" w:cs="Times New Roman"/>
          <w:sz w:val="28"/>
          <w:szCs w:val="28"/>
        </w:rPr>
        <w:t xml:space="preserve"> </w:t>
      </w:r>
      <w:r w:rsidRPr="00563789">
        <w:rPr>
          <w:rFonts w:ascii="Times New Roman" w:hAnsi="Times New Roman" w:cs="Times New Roman"/>
          <w:sz w:val="28"/>
          <w:szCs w:val="28"/>
        </w:rPr>
        <w:t>Создание офисов омбудсмена и заместителя омбудсмена изложено в Законе об омбудсмене 1976 года. Союз омбудсменов имеет команду специалистов, которая занимается проблемами между налогоплательщиками и налоговой службой. Команда налоговых специалистов в офисе омбудсмена имеет опыт и ресурсы для изучения и разрешения налоговых споров.</w:t>
      </w:r>
    </w:p>
    <w:p w:rsidR="00AF26A2" w:rsidRPr="00563789" w:rsidRDefault="00AF26A2" w:rsidP="00563789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63789">
        <w:rPr>
          <w:rFonts w:ascii="Times New Roman" w:hAnsi="Times New Roman" w:cs="Times New Roman"/>
          <w:sz w:val="28"/>
          <w:szCs w:val="28"/>
        </w:rPr>
        <w:t>Омбудсмен может рассматривать жалобы, касающиеся налогового администрирования (действия по взысканию долгов, решения о банкротстве, проведение аудиторских проверок, предоставление консультаций, освобождение от штрафов и др</w:t>
      </w:r>
      <w:r w:rsidR="00580436">
        <w:rPr>
          <w:rFonts w:ascii="Times New Roman" w:hAnsi="Times New Roman" w:cs="Times New Roman"/>
          <w:sz w:val="28"/>
          <w:szCs w:val="28"/>
        </w:rPr>
        <w:t>угое</w:t>
      </w:r>
      <w:r w:rsidRPr="00563789">
        <w:rPr>
          <w:rFonts w:ascii="Times New Roman" w:hAnsi="Times New Roman" w:cs="Times New Roman"/>
          <w:sz w:val="28"/>
          <w:szCs w:val="28"/>
        </w:rPr>
        <w:t>).</w:t>
      </w:r>
    </w:p>
    <w:p w:rsidR="00AF26A2" w:rsidRDefault="00AF26A2" w:rsidP="00563789">
      <w:pPr>
        <w:ind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789">
        <w:rPr>
          <w:rFonts w:ascii="Times New Roman" w:hAnsi="Times New Roman" w:cs="Times New Roman"/>
          <w:color w:val="000000"/>
          <w:sz w:val="28"/>
          <w:szCs w:val="28"/>
        </w:rPr>
        <w:t xml:space="preserve">Если жалоба является обоснованной, омбудсмен может рекомендовать </w:t>
      </w:r>
      <w:r w:rsidR="004A7FDC">
        <w:rPr>
          <w:rFonts w:ascii="Times New Roman" w:hAnsi="Times New Roman" w:cs="Times New Roman"/>
          <w:color w:val="000000"/>
          <w:sz w:val="28"/>
          <w:szCs w:val="28"/>
        </w:rPr>
        <w:t>органу налоговой службы</w:t>
      </w:r>
      <w:r w:rsidRPr="00563789">
        <w:rPr>
          <w:rFonts w:ascii="Times New Roman" w:hAnsi="Times New Roman" w:cs="Times New Roman"/>
          <w:color w:val="000000"/>
          <w:sz w:val="28"/>
          <w:szCs w:val="28"/>
        </w:rPr>
        <w:t xml:space="preserve"> пересмотреть свое решение; предоставить причины своих решений; выплатить компенсацию и/или изменить существующие процедуры.</w:t>
      </w:r>
    </w:p>
    <w:p w:rsidR="00AF26A2" w:rsidRPr="00563789" w:rsidRDefault="004A7FDC" w:rsidP="004A7FDC">
      <w:pPr>
        <w:ind w:firstLine="69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Трибунал.</w:t>
      </w:r>
    </w:p>
    <w:p w:rsidR="00AF26A2" w:rsidRDefault="00AF26A2" w:rsidP="004A7FDC">
      <w:pPr>
        <w:spacing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63789">
        <w:rPr>
          <w:rFonts w:ascii="Times New Roman" w:hAnsi="Times New Roman" w:cs="Times New Roman"/>
          <w:sz w:val="28"/>
          <w:szCs w:val="28"/>
        </w:rPr>
        <w:t xml:space="preserve">Административный апелляционный трибунал (ААТ) </w:t>
      </w:r>
      <w:r w:rsidR="004A7FDC">
        <w:rPr>
          <w:rFonts w:ascii="Times New Roman" w:hAnsi="Times New Roman" w:cs="Times New Roman"/>
          <w:sz w:val="28"/>
          <w:szCs w:val="28"/>
        </w:rPr>
        <w:t xml:space="preserve">Австралии действует </w:t>
      </w:r>
      <w:r w:rsidRPr="00563789">
        <w:rPr>
          <w:rFonts w:ascii="Times New Roman" w:hAnsi="Times New Roman" w:cs="Times New Roman"/>
          <w:sz w:val="28"/>
          <w:szCs w:val="28"/>
        </w:rPr>
        <w:t xml:space="preserve">на основании Закона об административном апелляционном трибунале (1975) и Устава административного апелляционного трибунала (1976). ААТ состоит из Президента и членов трибунала. Члены трибунала могут быть штатные (полный рабочий день) и внештатные (неполный рабочий день). Непосредственно рассмотрением налоговых споров занимается 20 штатных членов и 13 судей федерального суда. Президентом трибунала должен быть судья Федерального суда. Основные требования к членам трибунала: юридическая практика не менее 5 лет или наличие специальных знаний/навыков. Срок назначения в трибунал до 7 лет. Решения </w:t>
      </w:r>
      <w:r w:rsidRPr="00563789">
        <w:rPr>
          <w:rFonts w:ascii="Times New Roman" w:hAnsi="Times New Roman" w:cs="Times New Roman"/>
          <w:sz w:val="28"/>
          <w:szCs w:val="28"/>
        </w:rPr>
        <w:lastRenderedPageBreak/>
        <w:t>трибунала являются обязательными для исполнения сторонами спора, а также связанными третьими лицами.</w:t>
      </w:r>
    </w:p>
    <w:p w:rsidR="006556EE" w:rsidRDefault="006556EE" w:rsidP="004A7FDC">
      <w:pPr>
        <w:spacing w:line="240" w:lineRule="auto"/>
        <w:ind w:firstLine="69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6EE">
        <w:rPr>
          <w:rFonts w:ascii="Times New Roman" w:hAnsi="Times New Roman" w:cs="Times New Roman"/>
          <w:i/>
          <w:sz w:val="28"/>
          <w:szCs w:val="28"/>
        </w:rPr>
        <w:t>Суд.</w:t>
      </w:r>
    </w:p>
    <w:p w:rsidR="006556EE" w:rsidRPr="00144726" w:rsidRDefault="006556EE" w:rsidP="004A7FDC">
      <w:pPr>
        <w:spacing w:line="24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144726">
        <w:rPr>
          <w:rFonts w:ascii="Times New Roman" w:hAnsi="Times New Roman" w:cs="Times New Roman"/>
          <w:sz w:val="28"/>
          <w:szCs w:val="28"/>
        </w:rPr>
        <w:t>После обжалования в органах налоговой службы, а также после Трибунала, налогоплательщик может обратиться в Федеральный суд Австралии. На первой стадии судебного обжалования обращение налогоплательщика может быть рассмотрено одним судьей Федерального суда или полным составом из трех судей.</w:t>
      </w:r>
      <w:r w:rsidR="00144726" w:rsidRPr="00144726">
        <w:rPr>
          <w:rFonts w:ascii="Times New Roman" w:hAnsi="Times New Roman" w:cs="Times New Roman"/>
          <w:sz w:val="28"/>
          <w:szCs w:val="28"/>
        </w:rPr>
        <w:t xml:space="preserve"> При </w:t>
      </w:r>
      <w:r w:rsidR="00EB2AFE">
        <w:rPr>
          <w:rFonts w:ascii="Times New Roman" w:hAnsi="Times New Roman" w:cs="Times New Roman"/>
          <w:sz w:val="28"/>
          <w:szCs w:val="28"/>
        </w:rPr>
        <w:t>этом, решение суда,</w:t>
      </w:r>
      <w:r w:rsidR="00144726" w:rsidRPr="00144726">
        <w:rPr>
          <w:rFonts w:ascii="Times New Roman" w:hAnsi="Times New Roman" w:cs="Times New Roman"/>
          <w:sz w:val="28"/>
          <w:szCs w:val="28"/>
        </w:rPr>
        <w:t xml:space="preserve"> вынесенное одним судьей</w:t>
      </w:r>
      <w:r w:rsidR="00EB2AFE">
        <w:rPr>
          <w:rFonts w:ascii="Times New Roman" w:hAnsi="Times New Roman" w:cs="Times New Roman"/>
          <w:sz w:val="28"/>
          <w:szCs w:val="28"/>
        </w:rPr>
        <w:t>,</w:t>
      </w:r>
      <w:r w:rsidR="00144726" w:rsidRPr="00144726">
        <w:rPr>
          <w:rFonts w:ascii="Times New Roman" w:hAnsi="Times New Roman" w:cs="Times New Roman"/>
          <w:sz w:val="28"/>
          <w:szCs w:val="28"/>
        </w:rPr>
        <w:t xml:space="preserve"> может быть обжаловано в Федеральный суд полного состава. Решение Федерального суда полного состава может быть обжаловано в Верховный суд Австралии, но только после получения на это разрешения Верховного суда</w:t>
      </w:r>
      <w:r w:rsidR="00EF7246">
        <w:rPr>
          <w:rFonts w:ascii="Times New Roman" w:hAnsi="Times New Roman" w:cs="Times New Roman"/>
          <w:sz w:val="28"/>
          <w:szCs w:val="28"/>
        </w:rPr>
        <w:t>.</w:t>
      </w:r>
    </w:p>
    <w:p w:rsidR="006556EE" w:rsidRDefault="006556EE" w:rsidP="004A7FDC">
      <w:pPr>
        <w:spacing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45F9" w:rsidRDefault="008945F9" w:rsidP="004A7FDC">
      <w:pPr>
        <w:spacing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945F9" w:rsidRDefault="008945F9" w:rsidP="008945F9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.Ш.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Исенова</w:t>
      </w:r>
      <w:proofErr w:type="spellEnd"/>
    </w:p>
    <w:p w:rsidR="008945F9" w:rsidRDefault="008945F9" w:rsidP="008945F9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эксперт</w:t>
      </w:r>
    </w:p>
    <w:p w:rsidR="008945F9" w:rsidRPr="008945F9" w:rsidRDefault="008945F9" w:rsidP="008945F9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налоговых апелляций</w:t>
      </w:r>
      <w:bookmarkStart w:id="0" w:name="_GoBack"/>
      <w:bookmarkEnd w:id="0"/>
    </w:p>
    <w:p w:rsidR="002A3CB6" w:rsidRDefault="002A3CB6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CB6" w:rsidRDefault="002A3CB6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CB6" w:rsidRDefault="002A3CB6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CB6" w:rsidRDefault="002A3CB6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CB6" w:rsidRDefault="002A3CB6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F9" w:rsidRDefault="008945F9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F9" w:rsidRDefault="008945F9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F9" w:rsidRDefault="008945F9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F9" w:rsidRDefault="008945F9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F9" w:rsidRDefault="008945F9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F9" w:rsidRDefault="008945F9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F9" w:rsidRDefault="008945F9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F9" w:rsidRDefault="008945F9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F9" w:rsidRDefault="008945F9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F9" w:rsidRDefault="008945F9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F9" w:rsidRDefault="008945F9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F9" w:rsidRDefault="008945F9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F9" w:rsidRDefault="008945F9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F9" w:rsidRDefault="008945F9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F9" w:rsidRDefault="008945F9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F9" w:rsidRDefault="008945F9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F9" w:rsidRDefault="008945F9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F9" w:rsidRDefault="008945F9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F9" w:rsidRDefault="008945F9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F9" w:rsidRDefault="008945F9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F9" w:rsidRDefault="008945F9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F9" w:rsidRDefault="008945F9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F9" w:rsidRDefault="008945F9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F9" w:rsidRDefault="008945F9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F9" w:rsidRDefault="008945F9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F9" w:rsidRDefault="008945F9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5F9" w:rsidRDefault="008945F9" w:rsidP="002A3C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45F9" w:rsidSect="00E8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4DE"/>
    <w:multiLevelType w:val="hybridMultilevel"/>
    <w:tmpl w:val="7982D2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6F3E"/>
    <w:multiLevelType w:val="hybridMultilevel"/>
    <w:tmpl w:val="BF2218F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82698"/>
    <w:multiLevelType w:val="hybridMultilevel"/>
    <w:tmpl w:val="6066AD98"/>
    <w:lvl w:ilvl="0" w:tplc="9B1AA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2665C"/>
    <w:multiLevelType w:val="hybridMultilevel"/>
    <w:tmpl w:val="2EE8C6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F7234"/>
    <w:multiLevelType w:val="hybridMultilevel"/>
    <w:tmpl w:val="2708B09E"/>
    <w:lvl w:ilvl="0" w:tplc="042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C280BAB"/>
    <w:multiLevelType w:val="hybridMultilevel"/>
    <w:tmpl w:val="AC78FE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11EB8"/>
    <w:multiLevelType w:val="hybridMultilevel"/>
    <w:tmpl w:val="4BFA0E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B18B8"/>
    <w:multiLevelType w:val="hybridMultilevel"/>
    <w:tmpl w:val="141AB1E2"/>
    <w:lvl w:ilvl="0" w:tplc="0427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5936F4"/>
    <w:multiLevelType w:val="hybridMultilevel"/>
    <w:tmpl w:val="F166820C"/>
    <w:lvl w:ilvl="0" w:tplc="A2BC6F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D250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626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262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7212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5E1E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E1F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4289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44C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E74EE6"/>
    <w:multiLevelType w:val="hybridMultilevel"/>
    <w:tmpl w:val="5EF8CB1C"/>
    <w:lvl w:ilvl="0" w:tplc="A29E3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558FC"/>
    <w:multiLevelType w:val="hybridMultilevel"/>
    <w:tmpl w:val="6A70C298"/>
    <w:lvl w:ilvl="0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77"/>
    <w:rsid w:val="000728B2"/>
    <w:rsid w:val="00086F90"/>
    <w:rsid w:val="000A07A3"/>
    <w:rsid w:val="000A5CC9"/>
    <w:rsid w:val="000D4507"/>
    <w:rsid w:val="00144726"/>
    <w:rsid w:val="00150629"/>
    <w:rsid w:val="00197466"/>
    <w:rsid w:val="001E6D36"/>
    <w:rsid w:val="00202A73"/>
    <w:rsid w:val="00215A2D"/>
    <w:rsid w:val="00247588"/>
    <w:rsid w:val="002A3CB6"/>
    <w:rsid w:val="002D441A"/>
    <w:rsid w:val="002E0076"/>
    <w:rsid w:val="00337C70"/>
    <w:rsid w:val="00373253"/>
    <w:rsid w:val="0039089A"/>
    <w:rsid w:val="003B47A4"/>
    <w:rsid w:val="004475E5"/>
    <w:rsid w:val="004A7FDC"/>
    <w:rsid w:val="004B5892"/>
    <w:rsid w:val="004D29C4"/>
    <w:rsid w:val="004E10E3"/>
    <w:rsid w:val="00522009"/>
    <w:rsid w:val="00522732"/>
    <w:rsid w:val="00563789"/>
    <w:rsid w:val="00580436"/>
    <w:rsid w:val="005B0BF8"/>
    <w:rsid w:val="0061007C"/>
    <w:rsid w:val="00626DF8"/>
    <w:rsid w:val="006556EE"/>
    <w:rsid w:val="00696E5E"/>
    <w:rsid w:val="006A083D"/>
    <w:rsid w:val="006D5AA9"/>
    <w:rsid w:val="006F20DB"/>
    <w:rsid w:val="006F3A02"/>
    <w:rsid w:val="00757660"/>
    <w:rsid w:val="007860A0"/>
    <w:rsid w:val="007F5D88"/>
    <w:rsid w:val="00882B33"/>
    <w:rsid w:val="008945F9"/>
    <w:rsid w:val="008D309D"/>
    <w:rsid w:val="0093381F"/>
    <w:rsid w:val="00936237"/>
    <w:rsid w:val="00937EED"/>
    <w:rsid w:val="00951CC9"/>
    <w:rsid w:val="0095694C"/>
    <w:rsid w:val="00960254"/>
    <w:rsid w:val="00963B31"/>
    <w:rsid w:val="009803CD"/>
    <w:rsid w:val="00983D5F"/>
    <w:rsid w:val="009A19AA"/>
    <w:rsid w:val="009E5D35"/>
    <w:rsid w:val="009F20B9"/>
    <w:rsid w:val="009F291C"/>
    <w:rsid w:val="00A0507C"/>
    <w:rsid w:val="00A47E13"/>
    <w:rsid w:val="00A55337"/>
    <w:rsid w:val="00A6529D"/>
    <w:rsid w:val="00A74052"/>
    <w:rsid w:val="00A92722"/>
    <w:rsid w:val="00AC2B5B"/>
    <w:rsid w:val="00AF26A2"/>
    <w:rsid w:val="00B31DF2"/>
    <w:rsid w:val="00B802D0"/>
    <w:rsid w:val="00BA7788"/>
    <w:rsid w:val="00BB7F35"/>
    <w:rsid w:val="00C760B0"/>
    <w:rsid w:val="00CF6B77"/>
    <w:rsid w:val="00D31A8C"/>
    <w:rsid w:val="00D76683"/>
    <w:rsid w:val="00DF2FE3"/>
    <w:rsid w:val="00E43A46"/>
    <w:rsid w:val="00E776A3"/>
    <w:rsid w:val="00E83ADA"/>
    <w:rsid w:val="00E9609E"/>
    <w:rsid w:val="00EB2AFE"/>
    <w:rsid w:val="00ED00BD"/>
    <w:rsid w:val="00EF7246"/>
    <w:rsid w:val="00F27853"/>
    <w:rsid w:val="00F52898"/>
    <w:rsid w:val="00F95E23"/>
    <w:rsid w:val="00FD4CB7"/>
    <w:rsid w:val="00F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7C"/>
    <w:pPr>
      <w:ind w:left="720"/>
      <w:contextualSpacing/>
    </w:pPr>
  </w:style>
  <w:style w:type="table" w:styleId="a4">
    <w:name w:val="Table Grid"/>
    <w:basedOn w:val="a1"/>
    <w:rsid w:val="00AF26A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6556EE"/>
    <w:pPr>
      <w:spacing w:after="24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6556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ListParagraph1">
    <w:name w:val="List Paragraph1"/>
    <w:basedOn w:val="a"/>
    <w:rsid w:val="006556E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7C"/>
    <w:pPr>
      <w:ind w:left="720"/>
      <w:contextualSpacing/>
    </w:pPr>
  </w:style>
  <w:style w:type="table" w:styleId="a4">
    <w:name w:val="Table Grid"/>
    <w:basedOn w:val="a1"/>
    <w:rsid w:val="00AF26A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6556EE"/>
    <w:pPr>
      <w:spacing w:after="24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semiHidden/>
    <w:rsid w:val="006556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ListParagraph1">
    <w:name w:val="List Paragraph1"/>
    <w:basedOn w:val="a"/>
    <w:rsid w:val="006556E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zisenova</dc:creator>
  <cp:lastModifiedBy>ww</cp:lastModifiedBy>
  <cp:revision>2</cp:revision>
  <cp:lastPrinted>2014-11-10T12:27:00Z</cp:lastPrinted>
  <dcterms:created xsi:type="dcterms:W3CDTF">2015-01-06T03:24:00Z</dcterms:created>
  <dcterms:modified xsi:type="dcterms:W3CDTF">2015-01-06T03:24:00Z</dcterms:modified>
</cp:coreProperties>
</file>