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7"/>
        <w:gridCol w:w="3996"/>
        <w:gridCol w:w="1629"/>
        <w:gridCol w:w="1943"/>
        <w:gridCol w:w="2026"/>
        <w:gridCol w:w="1418"/>
        <w:gridCol w:w="30"/>
        <w:gridCol w:w="1406"/>
        <w:gridCol w:w="2249"/>
      </w:tblGrid>
      <w:tr w:rsidR="00386BAA" w:rsidRPr="00F51521" w:rsidTr="00994522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BAA" w:rsidRPr="002236A3" w:rsidRDefault="00386BAA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M50"/>
            <w:r w:rsidRPr="0022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4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BAA" w:rsidRPr="00F51521" w:rsidRDefault="00386BAA" w:rsidP="0038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 Операционном плане закреплены 134 мероприятий, из них в компетенции КГД 32мероприятий.</w:t>
            </w:r>
            <w:proofErr w:type="gramEnd"/>
          </w:p>
        </w:tc>
      </w:tr>
      <w:tr w:rsidR="002236A3" w:rsidRPr="00F51521" w:rsidTr="00B978A2">
        <w:trPr>
          <w:trHeight w:val="11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завершения (отчет, информация, протокол, договор (формула расчета)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Плановое значение на 2018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2236A3" w:rsidRPr="00F51521" w:rsidTr="00B978A2">
        <w:trPr>
          <w:trHeight w:val="381"/>
        </w:trPr>
        <w:tc>
          <w:tcPr>
            <w:tcW w:w="11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Стратегическое направление 1. Содействие устойчивости финансовой системы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A3" w:rsidRPr="00F51521" w:rsidTr="00B978A2">
        <w:trPr>
          <w:trHeight w:val="381"/>
        </w:trPr>
        <w:tc>
          <w:tcPr>
            <w:tcW w:w="11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Стратегическая цель 1.1. 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 сбалансированности бюджета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A3" w:rsidRPr="00F51521" w:rsidTr="003C4E62">
        <w:trPr>
          <w:trHeight w:val="6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 1.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налоговых поступлений </w:t>
            </w:r>
            <w:r w:rsidR="003C4E62"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консолидированного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в ВВП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386BAA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2236A3"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16,9%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18,6%</w:t>
            </w:r>
          </w:p>
          <w:p w:rsidR="00B978A2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опер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анные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A2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исполнении</w:t>
            </w:r>
          </w:p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hAnsi="Times New Roman"/>
                <w:bCs/>
                <w:color w:val="0C0000"/>
                <w:sz w:val="24"/>
                <w:szCs w:val="24"/>
                <w:lang w:eastAsia="ru-RU"/>
              </w:rPr>
              <w:t>Уточненная информация по данному целевому индикатору будет представлена после размещения Комитетом по статистике МНЭ РК данных о ВВП.</w:t>
            </w:r>
          </w:p>
        </w:tc>
      </w:tr>
      <w:tr w:rsidR="002236A3" w:rsidRPr="00F51521" w:rsidTr="003C4E62">
        <w:trPr>
          <w:trHeight w:val="10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объемов административных затрат органов государственных доходов  на сбор 1 миллиона фискальных платежей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КГД *1,0 / поступления в компетенции КГД *100 (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млн.тг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0,65%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6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исполнение плана поступлений в государственный бюджет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Фактическая сумма доходов в государственный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бюджет/ План по доходам в государственный бюджет *100% Данные ХД, е-Минфин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0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 снижение  удельного веса недоимки за счет взыскания денежными средствами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=b/a*100, где, а – общее снижение недоимки за отчетный период; b – оплата по налогоплательщикам, по которым недоимка числится на начало отчетного периода.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0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повышению качества взысканий по результатам камерального контроля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общей суммы взыскания (Уплата всего) к общей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подлежащей к начислению, умноженное на 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89,6%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B978A2">
        <w:trPr>
          <w:trHeight w:val="457"/>
        </w:trPr>
        <w:tc>
          <w:tcPr>
            <w:tcW w:w="11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Стратегическая цель 1.2. Обеспечение  эффективности налогового   и таможенного контроля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A3" w:rsidRPr="00F51521" w:rsidTr="003C4E62">
        <w:trPr>
          <w:trHeight w:val="10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 9.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результативных проверок по итогам применения СУР на этапе очистки товара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проверок по итогам применения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СУР на этапе очистки товара/ Общее количество проверок*100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менее 58%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6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анализа и актуализацию  профилей риска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(2,4 квартал)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информация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6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 10. Охват всеобщим декларированием доходов и расходов физических лиц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Нвд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Нфакт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Нплан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*100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Нплан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Нобщ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Нндв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Нвд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охват всеобщим декларированием доходов и расходов физических лиц;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Нплан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общая численность населения, подлежащего декларированию;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Нфакт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общая численность населения, фактически представившего декларацию;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Нобщ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общая численность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населения;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Нндв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численность населения, не достигших восемнадцатилетнего возраста (совершеннолетия) Единица измерения –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2020 году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62" w:rsidRPr="00F51521" w:rsidRDefault="003C4E62" w:rsidP="003C4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21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  <w:p w:rsidR="002236A3" w:rsidRPr="00F51521" w:rsidRDefault="003C4E6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hAnsi="Times New Roman" w:cs="Times New Roman"/>
                <w:sz w:val="24"/>
                <w:szCs w:val="24"/>
              </w:rPr>
              <w:t>Исполнение данного индикатора предусмотрено в 2020 году</w:t>
            </w:r>
          </w:p>
        </w:tc>
      </w:tr>
      <w:tr w:rsidR="002236A3" w:rsidRPr="00F51521" w:rsidTr="003C4E62">
        <w:trPr>
          <w:trHeight w:val="13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пилота по заполнению Декларации о доходах и имуществе на базе УГД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Осакаровского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ДГД по Карагандинской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(сентябрь                           2018 года)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мероприятий / на  количество запланированных  мероприятий*100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пилот)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дорожной карты по актуализации баз данных уполномоченных органов для целей внедрения всеобщего декларирования доходов и имущества физических лиц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мероприятий / на  количество запланированных  мероприятий*100  Единица измерения –  количество мероприятий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кв-1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кв-1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кв-1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кв-5)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9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индикатор 11.  Доля оконченных производством уголовных дел из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находившихся в производстве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=О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/Н*100%До – доля оконченных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уголовных дел; О – количество оконченных уголовных дел; Н – количество находившихся в производстве уголовных дел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Единица измерения –  количество уголовных дел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менее 55,5%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3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качество окончания производства по уголовным делам (направление в суд, прекращение по не реабилитирующим основаниям)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/Н*100%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– доля оконченных уголовных дел; О – количество оконченных уголовных дел; Н – количество находившихся в производстве уголовных дел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 –  количество уголовных дел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55,5%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0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 15.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налогоплательщиков, имеющих риски наличия теневых операций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млрд. тенге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исполнении</w:t>
            </w:r>
          </w:p>
          <w:p w:rsidR="00B978A2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hAnsi="Times New Roman"/>
                <w:bCs/>
                <w:sz w:val="24"/>
                <w:szCs w:val="24"/>
              </w:rPr>
              <w:t xml:space="preserve">Расчет данного целевого индикатора, производится по сведениям из форм </w:t>
            </w:r>
            <w:r w:rsidRPr="00F515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налоговой отчетности по НДС (ФНО 300.00) за соответствующий налоговый период. </w:t>
            </w:r>
            <w:proofErr w:type="gramStart"/>
            <w:r w:rsidRPr="00F51521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налогового законодательства сроки представления ФНО 300.00 «Декларация по налогу на добавленную стоимость» за 4 квартал 2018 года не позднее 15 числа второго месяца, следующего за отчетным налоговым периодом, то есть 15 февраля 2019 года, после чего, необходимо дополнительное время для проведения анализа представленных деклараций и выявления </w:t>
            </w:r>
            <w:r w:rsidRPr="00F515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вышеуказанных признаков не менее 1 месяца, после которого будут представлен отчет об исполнении</w:t>
            </w:r>
            <w:proofErr w:type="gramEnd"/>
            <w:r w:rsidRPr="00F51521">
              <w:rPr>
                <w:rFonts w:ascii="Times New Roman" w:hAnsi="Times New Roman"/>
                <w:bCs/>
                <w:sz w:val="24"/>
                <w:szCs w:val="24"/>
              </w:rPr>
              <w:t xml:space="preserve"> целевого индикатора.</w:t>
            </w:r>
          </w:p>
        </w:tc>
      </w:tr>
      <w:tr w:rsidR="002236A3" w:rsidRPr="00F51521" w:rsidTr="003C4E62">
        <w:trPr>
          <w:trHeight w:val="10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повышению качества взыскания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по актам налоговых проверок за текущий период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ежеквартально, не позднее 20 числа месяца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следующего за отчетным периодом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=(а/b)*100%, где, а - сумма взыскания по актам налоговых проверок текущего периода; b - сумма начисления за отчетный период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3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запуск модуля «Виртуальный склад» в ИС ЭСФ по отдельным группам товаров, в отношении которых применяются пониженные ставки ввозных таможенных пошлин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(апрель 2018 года)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проведенных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/запланированное количество проведенных мероприятий*100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0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нарушений сроков процедуры возврата превышения НДС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ежеквартально, не позднее 20 числа месяца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следующего за отчетным периодом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=(a/b)*100, где, a - завершенные с нарушением сроков процедуры возврата в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отчетном периоде; b – общее кол-во завершенных процедур возврата превышения НДС в отчетном периоде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3C4E62">
        <w:trPr>
          <w:trHeight w:val="10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организацию встреч с бизнес - сообществом крупных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городах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/Запланированное количество *100%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6 городах)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3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C4E62" w:rsidRPr="00F51521" w:rsidTr="00504223">
        <w:trPr>
          <w:trHeight w:val="472"/>
        </w:trPr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E62" w:rsidRPr="00F51521" w:rsidRDefault="003C4E62" w:rsidP="003C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Стратегическое направление 2 «Модернизация системы администрирования государственных активов и финансов»</w:t>
            </w: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C4E62" w:rsidRPr="00F51521" w:rsidTr="00495FD2">
        <w:trPr>
          <w:trHeight w:val="472"/>
        </w:trPr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E62" w:rsidRPr="00F51521" w:rsidRDefault="003C4E62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2.2. Создание благоприятной бизнес – среды и снижение административных барьеров для бизнеса и населения</w:t>
            </w: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A3" w:rsidRPr="00F51521" w:rsidTr="000B17AF">
        <w:trPr>
          <w:trHeight w:val="7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 17.  Сокращение времени таможенной очистки товаров в том числе: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время таможенной очистки товаров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Единица измерения – часы, минуты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978A2"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B978A2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r w:rsidR="002236A3"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A3" w:rsidRPr="00F51521" w:rsidTr="000B17AF">
        <w:trPr>
          <w:trHeight w:val="16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3C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 18.   Сокращение времени прохождения таможенных операций в автомобильных пунктах пропуска, через таможенную границу с круглосуточным режимом работы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время/фактическое время*100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Единица измерения – минуты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более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60 мин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1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сокращение времени прохождения таможенных операций в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Актау при предварительном информировании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время/фактическое время*100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(план не более 4 часов)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16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подготовительных мероприятий по реконструкции и модернизации пункта пропуска «Б.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Конысбаева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казахстанском участке таможенной границы ЕАЭС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мероприятий/плановое количество мероприятий*100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контроль выявленных правонарушений по результатам проведенных таможенных экспертиз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количеству выявленных несоответствии,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доначисленным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ТПиН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принятым мерам нетарифного регулировани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выявленных несоответствии/кол-во проведенных таможенных экспертиз *100%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26,15</w:t>
            </w:r>
            <w:r w:rsidR="00B978A2"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6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 19.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Сокращение времени соблюдения налоговых обязательств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индикатора производится на основе методики ВБ, применяемой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расчета индикатора «Налогообложение» рейтинга «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Doing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Business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Методика размещена на официальном сайте ВБ. В расчет принимаются результаты, полученные ВБ  в ходе ежегодного проведения опроса налогоплательщиков.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Фактическое значение времени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тражает время, затраченное на подготовку, подачу отчетности и уплату трех основных видов налогов и отчислений: налога на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корпораций, налога на добавленную стоимость или налога с продаж и налогов на рабочую силу, включая налоги на фонд заработной платы и отчисления на социальное обеспечение.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Единица измерения – минуты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 более 176 мин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B978A2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8A2" w:rsidRPr="00F51521" w:rsidRDefault="00B978A2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исполнении</w:t>
            </w:r>
          </w:p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Данный показатель определяется путем проведения хронометража. Обследование  </w:t>
            </w:r>
            <w:r w:rsidRPr="00F51521"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lastRenderedPageBreak/>
              <w:t>планируется провести после завершения финансового года и сдачи годовой  налоговой отчетности в марте месяце.</w:t>
            </w:r>
          </w:p>
          <w:p w:rsidR="00B978A2" w:rsidRPr="00F51521" w:rsidRDefault="00B978A2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A3" w:rsidRPr="00F51521" w:rsidTr="000B17AF">
        <w:trPr>
          <w:trHeight w:val="16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сокращение удельного веса налоговых заявлений на зачеты/возвраты, исполненных с нарушением срока в общем количестве налоговых заявлений на зачеты/возвраты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=(a/b)*100, где, а - количество заявлений на зачеты/возвраты, исполненных с нарушением срока; b - общее количество налоговых заявлений на зачеты/возвраты.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10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 20.   Удовлетворенность общества государственными услугами органов гос. доходов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индикатора производится на основании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данных, полученных в результате проведенного независимого социологического опроса.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положениями Меморандума о взаимопонимании и сотрудничестве по вопросу проведения общественного мониторинга качества оказания государственных услуг, предоставляемых органами государственных доходов, заключенного между КГД МФ РК и Объединением юридических лиц «Ассоциация налогоплатель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щиков Казахстана» (далее - АНК), АНК проводит общественный мониторинг качества оказания государственных услуг, предоставляемых органами государственных доходов с привлечением организаций, осуществляющих деятельность в сфере социологических исследований.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Выбор методики проведения исследования остается за организацией, привлеченной АНК. Единица измерения – 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менее 81 %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1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качества предоставления государственных услуг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государственных услуг, оказанных с нарушением сроков оказания  государственных услуг к общему количеству оказанных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36A3" w:rsidRPr="00F51521" w:rsidTr="000B17AF">
        <w:trPr>
          <w:trHeight w:val="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увеличение количества услуг, оказываемых в электронной форме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услуг, оказываемых в электронной форме к общему количеству оказываемых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  <w:r w:rsidR="00C45A17"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A3" w:rsidRPr="00F51521" w:rsidRDefault="002236A3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 21.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погашения требований кредиторов по должникам, завершившим процедуры реабилитации и банкротства (без учета должников, не имеющих активов)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= (ПЗ /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* 100 %, где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– Коэффициент погашения требований кредиторов в ходе проведения процедур реабилитации, банкротства (без учета должников, не имеющих активов);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ПЗ  – Всего погашено кредиторской задолженности должников (без учета должников, не имеющих активов)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КЗ – Общая кредиторская задолженность должников (без учета должников, не имеющих активов).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Расчет коэффициента производится по должникам, завершившим процедуру реабилитации и банкротства с начала текущего года до отчетной даты.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Единица измерения –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млрд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менее 14%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0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сокращение среднего срока продолжительности процедур банкротства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ежеквартально, не позднее 20 числа месяца, следующего за отчетным периодом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 срок проведения процедур/количество ликвидированных должников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 –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2,3 лет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введение порядка раздельного голосования кредиторов в реабилитационной процедуре путем внесения изменений в действующее законодательство.  Внесение изменений в Закон РК «О реабилитации и банкротстве»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(декабрь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Закон РК «О реабилитации и банкротстве»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3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мониторинг рекомендаций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мероприятий к общему количеству закрепленных за структурным подразделением мероприятий Плана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мониторинг реализации Плана мероприятий на 2015-2017 годы по реализации Антикоррупционной стратегии Республики Казахстан на 2015 – 2025 годы и противодействию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теневой экономике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мероприятий к общему количеству закрепленных за 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 подразделением мероприятий Плана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разработку и утверждение детальных планов по реализации мероприятий программы закрепленных за Министерством (ИС ГП, ИС МСУ, ИС «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Бух.учет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ЭГЗ,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Автоматизация сквозного мониторинга движения товаров, Повышение собираемости налогов интеграция баз данных различных источников).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ДЦГУ                     КГД                        КК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планов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(КГД-3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КК-1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ДЗГЗ-1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ДБП – 1</w:t>
            </w: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ДМБУА-1)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контрольных мероприятий по внутреннему государственному 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государственных услуг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ДЦГУ, Комитеты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Министра финансов РК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7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дорожных карт по оптимизации государственных услуг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ДЦГУ, Комитеты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дорожная карта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реестра государственных услуг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ДЦГУ, Комитеты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в МИК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9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мониторинга дебиторской задолженности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ежеквартально, не позднее 25 числа месяца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следующего за отчетным </w:t>
            </w: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периодом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Отчет, 100% - (ДЗ отчетного периода/ДЗ прошлого периода*100%)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 </w:t>
            </w:r>
          </w:p>
        </w:tc>
      </w:tr>
      <w:tr w:rsidR="00C45A17" w:rsidRPr="00F51521" w:rsidTr="000B17AF">
        <w:trPr>
          <w:trHeight w:val="12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мониторинга кредиторской задолженности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ежеквартально, не позднее 25 числа месяца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следующего за отчетным периодом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(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100% - (КЗ отчетного периода/КЗ прошлого периода*100%)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F51521" w:rsidTr="000B17AF">
        <w:trPr>
          <w:trHeight w:val="1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мониторинга реализации бюджетных программ (подпрограмм) Министерства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Start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(%, </w:t>
            </w:r>
            <w:proofErr w:type="gramEnd"/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фактического исполнения к плану),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45A17" w:rsidRPr="002236A3" w:rsidTr="000B17AF">
        <w:trPr>
          <w:trHeight w:val="11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мониторинга инвестиционных проектов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22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(2,4 квартал)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(%, исполнение фактического исполнения к плану),</w:t>
            </w: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Единица измерения – </w:t>
            </w:r>
            <w:proofErr w:type="spellStart"/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тыс.тенге</w:t>
            </w:r>
            <w:proofErr w:type="spellEnd"/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</w:t>
            </w: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КГД</w:t>
            </w: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квартал- 174 030 тыс. тенге</w:t>
            </w:r>
            <w:r w:rsidRPr="00F5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квартал- 826 095 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F51521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17" w:rsidRPr="002236A3" w:rsidRDefault="00C45A17" w:rsidP="000B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bookmarkStart w:id="1" w:name="_GoBack"/>
            <w:bookmarkEnd w:id="1"/>
          </w:p>
        </w:tc>
      </w:tr>
    </w:tbl>
    <w:p w:rsidR="00BD3227" w:rsidRDefault="00BD3227"/>
    <w:sectPr w:rsidR="00BD3227" w:rsidSect="00223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55"/>
    <w:rsid w:val="000B17AF"/>
    <w:rsid w:val="002236A3"/>
    <w:rsid w:val="00386BAA"/>
    <w:rsid w:val="003C4E62"/>
    <w:rsid w:val="00783B55"/>
    <w:rsid w:val="00B978A2"/>
    <w:rsid w:val="00BD3227"/>
    <w:rsid w:val="00C45A17"/>
    <w:rsid w:val="00F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Кумекова Арайлым Аскаровна</dc:creator>
  <cp:keywords/>
  <dc:description/>
  <cp:lastModifiedBy>Кумекова Арайлым Аскаровна</cp:lastModifiedBy>
  <cp:revision>5</cp:revision>
  <dcterms:created xsi:type="dcterms:W3CDTF">2019-02-20T12:12:00Z</dcterms:created>
  <dcterms:modified xsi:type="dcterms:W3CDTF">2019-02-21T06:31:00Z</dcterms:modified>
</cp:coreProperties>
</file>