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61688">
        <w:rPr>
          <w:rFonts w:ascii="Times New Roman" w:eastAsia="Calibri" w:hAnsi="Times New Roman"/>
          <w:sz w:val="24"/>
          <w:szCs w:val="24"/>
          <w:lang w:eastAsia="ru-RU"/>
        </w:rPr>
        <w:t>Приложение 43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61688">
        <w:rPr>
          <w:rFonts w:ascii="Times New Roman" w:eastAsia="Calibri" w:hAnsi="Times New Roman"/>
          <w:sz w:val="24"/>
          <w:szCs w:val="24"/>
          <w:lang w:eastAsia="ru-RU"/>
        </w:rPr>
        <w:t>к приказу Министра финансов</w:t>
      </w:r>
    </w:p>
    <w:p w:rsidR="00261688" w:rsidRPr="00261688" w:rsidRDefault="00261688" w:rsidP="00261688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61688">
        <w:rPr>
          <w:rFonts w:ascii="Times New Roman" w:eastAsia="Calibri" w:hAnsi="Times New Roman"/>
          <w:sz w:val="24"/>
          <w:szCs w:val="24"/>
          <w:lang w:eastAsia="ru-RU"/>
        </w:rPr>
        <w:t>Республики Казахстан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61688">
        <w:rPr>
          <w:rFonts w:ascii="Times New Roman" w:eastAsia="Calibri" w:hAnsi="Times New Roman"/>
          <w:sz w:val="24"/>
          <w:szCs w:val="24"/>
          <w:lang w:eastAsia="ru-RU"/>
        </w:rPr>
        <w:t>от 27 апреля 2015 года № 284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b/>
          <w:sz w:val="28"/>
          <w:szCs w:val="28"/>
          <w:lang w:eastAsia="zh-TW"/>
        </w:rPr>
        <w:t>Стандарт государственной услуги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b/>
          <w:sz w:val="28"/>
          <w:szCs w:val="28"/>
          <w:lang w:eastAsia="zh-TW"/>
        </w:rPr>
        <w:t>«Таможенная очистка товаров»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b/>
          <w:sz w:val="28"/>
          <w:szCs w:val="28"/>
          <w:lang w:eastAsia="zh-TW"/>
        </w:rPr>
        <w:t>1. Общие положения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>1. Государственная услуга «Таможенная очистка товаров» (далее – государственная услуга).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>3. Государственная услуга оказывается территориальными органами Комитета государственных доходов Министерства по областям, городам Астане, Алматы</w:t>
      </w:r>
      <w:r w:rsidRPr="0026168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26168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Шымкент</w:t>
      </w: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 (</w:t>
      </w:r>
      <w:proofErr w:type="gram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далее –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услугодатель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>).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Прием декларации на товары и выдача результата оказания государственной услуги осуществляются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услугодателем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через: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1) информационную систему «АСТАНА-1» (далее – информационная система);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2) 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канцелярию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b/>
          <w:sz w:val="28"/>
          <w:szCs w:val="28"/>
          <w:lang w:eastAsia="zh-TW"/>
        </w:rPr>
        <w:t>2. Порядок оказания государственной услуги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>4. Срок оказания государственной услуги: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1) выпуск товаров должен быть завершен в течение 4 (четырех) часов с момента регистрации декларации на товары в виде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элетронного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документа (далее – Декларация) либо с момента наступления одного из обстоятельств, указанных в подпункте 2 настоящего пункта, а в случаях, если Декларация зарегистрирована менее чем за 4 (четыре) часа до окончания времени работы 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услугодателя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либо одно из обстоятельств, указанных в подпункте 2 настоящего пункта, наступило менее чем за 4 (четыре) часа до окончания времени работы 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услугодателя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– в течение 4 (четырех) часов с момента начала времени работы этого 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услугодателя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>, за исключением случаев, предусмотренных настоящим пунктом.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2) при предварительном таможенном декларировании товаров сроки выпуска товаров, исчисляются с момента наступления одного из следующих обстоятельств: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изменение (дополнение) сведений, заявленных в Декларации  – при условии, что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, зарегистрировавшим Декларацию, получено 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уведомление о размещении товаров в зоне таможенного контроля, указанной в Декларации, а в отношении товаров, перевозимых водными судами, –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выдано разрешение на их выгрузку в месте прибытия, указанном в Декларации в соответствии с пунктом 4 статьи 185 Кодекса Республики Казахстан от 26 декабря 2017 года «О таможенном регулировании в Республике Казахстан» (далее – Кодекс);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 xml:space="preserve">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получение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, зарегистрировавшим Декларацию, уведомления о размещении товаров в зоне таможенного контроля, указанной в Декларации, а в отношении товаров, перевозимых водными судами, – выдача таможенным органом разрешения на их выгрузку в месте прибытия, указанном в Декларации в соответствии с пунктом 4 статьи 185 Кодекса, – при условии, что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ь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уведомлен об отсутствии необходимости внесения изменений (дополнений) в поданную таможенную декларацию либо изменения (дополнения) внесены в сведения, заявленные в Декларации до получения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уведомления о размещении товаров в зоне таможенного контроля, указанной в Декларации, или получения разрешения на выгрузку в месте прибытия, указанном в Декларации в соответствии с пунктом 4                  статьи 185 Кодекса в отношении товаров, перевозимых водными судами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 xml:space="preserve">;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3) выпуск товаров должен быть завершен не позднее 1 (одного) рабочего дня, следующего за днем регистрации Декларации либо за днем наступления одного из обстоятельств, указанных в подпункте 2 настоящего пункта, если в течение времени, указанного в подпункте 1 настоящего пункта, наступило одно из следующих обстоятельств: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пунктами 1 и 4 статьи 410 Кодекса запрошены документы, подтверждающие сведения, заявленные в Декларации, и (или) принято решение о проведении таможенного контроля в иных формах либо о применении мер, обеспечивающих проведение таможенного контроля;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услугополучатель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обратился в таможенный орган с мотивированным обращением об изменении (дополнении) сведений, заявленных в таможенной декларации, в соответствии с пунктом 1 статьи 183 Кодекса;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услугополучателем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не выполнено требование таможенного органа об изменении (дополнении) сведений, заявленных в таможенной декларации, в соответствии с пунктом 2 статьи 183 Кодекса.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4) срок выпуска товаров, указанный в подпункте 3 настоящего пункта, может быть продлен на время, необходимое для: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проведения или завершения начатого таможенного контроля с применением предусмотренных Кодексом форм таможенного контроля и (или) мер, обеспечивающих проведение таможенного контроля;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выполнения требования 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услугодателя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об изменении (дополнении) сведений, заявленных в декларации, в соответствии с пунктом 2 статьи 183 Кодекса;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предоставления обеспечения исполнения обязанности по уплате таможенных пошлин, налогов, специальных, антидемпинговых, компенсационных пошлин в соответствии со статьями 195 и 196 Кодекса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5) срок выпуска товаров продлевается с разрешения руководителя 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услугодателя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, уполномоченного им заместителя руководителя 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услугодателя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либо лиц, их замещающих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6) при продлении срока выпуска товаров выпуск товаров должен быть завершен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не позднее 10 (десяти) рабочих дней со дня, следующего за днем регистрации Декларации либо за днем наступления одного из обстоятельств, указанных в подпункте 2 настоящего пункта, если иное не установлено Кодексом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7) в случае, если проверка таможенных, иных документов и (или) сведений не может быть завершена в срок, установленный подпунктом 6 настоящего пункта, и выпуск товаров в соответствии со статьей 195 Кодекса не может быть произведен в случае, предусмотренном пунктом 5 статьи 195 Кодекса, срок выпуска товаров продлевается с разрешения руководителя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я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, уполномоченного им заместителя руководителя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я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либо лиц, их замещающих, со дня, следующего за днем истечения срока, установленного 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под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>пунктом 6 настоящего пункта, на срок проведения такой проверки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8) в случае, если назначена таможенная экспертиза и для ее завершения необходим более продолжительный срок, чем срок, установленный подпунктом 6 настоящего пункта, и не предоставлено обеспечение исполнения обязанности по уплате таможенных пошлин, налогов, специальных, антидемпинговых, компенсационных пошлин в соответствии со статьей 196 Кодекса, либо выпуск товаров в соответствии со статьей 196 Кодекса не может быть произведен в случае, предусмотренном пунктом 5 статьи 196 Кодекса, срок выпуска товаров продлевается с разрешения руководителя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я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, уполномоченного им заместителя руководителя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я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либо лиц, их замещающих, со дня, следующего за днем истечения срока, установленного подпунктом 6 настоящего пункта, на срок проведения таможенной экспертизы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9) при продлении срока выпуска товаров в соответствии с подпунктами 4), 5), 6), 7), 8) пункта 4 настоящего стандарта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услугодатель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направляет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услугополучателю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уведомление о таком продлении с указанием оснований продления срока выпуска товаров не позднее 1 (одного) рабочего дня, следующего за днем выдачи разрешения.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Максимально допустимое время для регистрации Декларации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услугодателем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– 1 (один) час.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5. Форма оказания государственной услуги: электронная или бумажная (в бумажной (письменной) форме может быть осуществлено, если у </w:t>
      </w:r>
      <w:r w:rsidRPr="00261688">
        <w:rPr>
          <w:rFonts w:ascii="Times New Roman" w:eastAsia="Calibri" w:hAnsi="Times New Roman"/>
          <w:sz w:val="28"/>
          <w:szCs w:val="28"/>
          <w:lang w:val="kk-KZ" w:eastAsia="zh-TW"/>
        </w:rPr>
        <w:t>услугодателя</w:t>
      </w: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отсутствует возможность обеспечить реализацию декларантом таможенного декларирования в электронной форме в связи с неисправностью используемых </w:t>
      </w:r>
      <w:r w:rsidRPr="00261688">
        <w:rPr>
          <w:rFonts w:ascii="Times New Roman" w:eastAsia="Calibri" w:hAnsi="Times New Roman"/>
          <w:sz w:val="28"/>
          <w:szCs w:val="28"/>
          <w:lang w:val="kk-KZ" w:eastAsia="zh-TW"/>
        </w:rPr>
        <w:t>услугодателем</w:t>
      </w: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информационных систем, вызванной техническими сбоями, нарушениями в работе средств связи (телекоммуникационных сетей и </w:t>
      </w:r>
      <w:r w:rsidRPr="00261688">
        <w:rPr>
          <w:rFonts w:ascii="Times New Roman" w:eastAsia="Calibri" w:hAnsi="Times New Roman"/>
          <w:sz w:val="28"/>
          <w:szCs w:val="28"/>
          <w:lang w:eastAsia="zh-TW"/>
        </w:rPr>
        <w:lastRenderedPageBreak/>
        <w:t xml:space="preserve">Интернета), отключением электроэнергии, аварией, действием непреодолимой силы, или иными обстоятельствами, приведшими к неисправности используемых </w:t>
      </w:r>
      <w:r w:rsidRPr="00261688">
        <w:rPr>
          <w:rFonts w:ascii="Times New Roman" w:eastAsia="Calibri" w:hAnsi="Times New Roman"/>
          <w:sz w:val="28"/>
          <w:szCs w:val="28"/>
          <w:lang w:val="kk-KZ" w:eastAsia="zh-TW"/>
        </w:rPr>
        <w:t>услугодателем</w:t>
      </w: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информационных систем).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6. Результатом оказания государственной услуги является – решение о выпуске товаров принятое уполномоченным должностным лицом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услугодателя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, заверенное его электронной цифровой подписью (далее – ЭЦП), в том числе с одновременным уведомлением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услугополучателя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>, а также заинтересованных лиц посредством информационной системы, либо мотивированный ответ об отказе в оказании государственной услуги в виде решения об отказе в выпуске товаров в случаях и по основаниям, указанным в пункте 10 настоящего стандарта государственной услуги.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>Форма предоставления результата оказания государственной услуги: электронная или бумажная (в бумажной (письменной) форме может быть осуществлено,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систем, вызванной техническими сбоями, нарушениями в работе средств связи (телекоммуникационных сетей и Интернета), отключением электроэнергии, аварией, действием непреодолимой силы, или иными обстоятельствами, приведшими к неисправности используемых таможенными органами информационных систем).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7. Государственная услуга оказывается на платной основе физическим и юридическим лицам (далее –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услугополучатель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>).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В соответствии с Кодексом за оказание государственной услуги взимаются таможенные сборы за таможенное декларирование товаров, устанавливаемые Постановлением Правительства Республики Казахстан от </w:t>
      </w:r>
      <w:r w:rsidRPr="00261688">
        <w:rPr>
          <w:rFonts w:ascii="Times New Roman" w:eastAsia="Calibri" w:hAnsi="Times New Roman"/>
          <w:sz w:val="28"/>
          <w:szCs w:val="28"/>
          <w:lang w:eastAsia="zh-TW"/>
        </w:rPr>
        <w:br/>
        <w:t xml:space="preserve">5 апреля 2018 года № 171, в размере 22000 (двадцать две тысяч) тенге за декларации на товары (далее – ДТ). 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На основании статьи 460 Таможенного кодекса Евразийского  экономического союза при декларировании товаров, перемещаемых в рамках контрактов на недропользование, действующих в соответствии с Законом Республики Казахстан от 20 июля 1995 года № 2368 «О таможенном деле в Республике Казахстан», таможенные сборы за таможенное оформление товаров, перемещаемых юридическими и физическими лицами взимаются в соответствии с постановлением Правительства Республики Казахстан от </w:t>
      </w:r>
      <w:r w:rsidRPr="00261688">
        <w:rPr>
          <w:rFonts w:ascii="Times New Roman" w:eastAsia="Calibri" w:hAnsi="Times New Roman"/>
          <w:sz w:val="28"/>
          <w:szCs w:val="28"/>
          <w:lang w:eastAsia="zh-TW"/>
        </w:rPr>
        <w:br/>
        <w:t>7 ноября 1995 года № 1479 «О ставках таможенных платежей» в размере 0,2 % от таможенной стоимости, за таможенное оформление товаров и транспортных средств вне определенных для этого мест и вне времени работы органов государственных доходов в размере 0,4 % от таможенной стоимости.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>Таможенные сборы за таможенное декларирование товаров уплачиваются до или одновременно с подачей Декларации.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>8.</w:t>
      </w:r>
      <w:r w:rsidRPr="00261688">
        <w:rPr>
          <w:rFonts w:ascii="Times New Roman" w:eastAsiaTheme="minorHAnsi" w:hAnsi="Times New Roman"/>
          <w:sz w:val="28"/>
          <w:szCs w:val="28"/>
          <w:lang w:eastAsia="ru-RU"/>
        </w:rPr>
        <w:t xml:space="preserve"> График работы: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1) </w:t>
      </w: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портала и информационной системы: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услугополучателя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61688">
        <w:rPr>
          <w:rFonts w:ascii="Times New Roman" w:eastAsiaTheme="minorHAnsi" w:hAnsi="Times New Roman"/>
          <w:sz w:val="28"/>
          <w:szCs w:val="28"/>
          <w:lang w:eastAsia="ru-RU"/>
        </w:rPr>
        <w:t xml:space="preserve">2) </w:t>
      </w:r>
      <w:proofErr w:type="spellStart"/>
      <w:r w:rsidRPr="00261688">
        <w:rPr>
          <w:rFonts w:ascii="Times New Roman" w:eastAsiaTheme="minorHAnsi" w:hAnsi="Times New Roman"/>
          <w:sz w:val="28"/>
          <w:szCs w:val="28"/>
          <w:lang w:eastAsia="ru-RU"/>
        </w:rPr>
        <w:t>услугодателя</w:t>
      </w:r>
      <w:proofErr w:type="spellEnd"/>
      <w:r w:rsidRPr="00261688">
        <w:rPr>
          <w:rFonts w:ascii="Times New Roman" w:eastAsiaTheme="minorHAnsi" w:hAnsi="Times New Roman"/>
          <w:sz w:val="28"/>
          <w:szCs w:val="28"/>
          <w:lang w:eastAsia="ru-RU"/>
        </w:rPr>
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Казахстан, за исключением </w:t>
      </w:r>
      <w:proofErr w:type="spellStart"/>
      <w:r w:rsidRPr="00261688">
        <w:rPr>
          <w:rFonts w:ascii="Times New Roman" w:eastAsiaTheme="minorHAnsi" w:hAnsi="Times New Roman"/>
          <w:sz w:val="28"/>
          <w:szCs w:val="28"/>
          <w:lang w:eastAsia="ru-RU"/>
        </w:rPr>
        <w:t>услугодателя</w:t>
      </w:r>
      <w:proofErr w:type="spellEnd"/>
      <w:r w:rsidRPr="00261688">
        <w:rPr>
          <w:rFonts w:ascii="Times New Roman" w:eastAsiaTheme="minorHAnsi" w:hAnsi="Times New Roman"/>
          <w:sz w:val="28"/>
          <w:szCs w:val="28"/>
          <w:lang w:eastAsia="ru-RU"/>
        </w:rPr>
        <w:t>, для которого уполномоченным органом в сфере таможенного дела установлен круглосуточный режим работы.</w:t>
      </w:r>
    </w:p>
    <w:p w:rsidR="00261688" w:rsidRPr="00261688" w:rsidRDefault="00261688" w:rsidP="0026168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261688">
        <w:rPr>
          <w:rFonts w:ascii="Times New Roman" w:eastAsiaTheme="minorHAnsi" w:hAnsi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261688" w:rsidRPr="00261688" w:rsidRDefault="00261688" w:rsidP="00261688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1688">
        <w:rPr>
          <w:rFonts w:ascii="Times New Roman" w:eastAsiaTheme="minorHAnsi" w:hAnsi="Times New Roman"/>
          <w:sz w:val="28"/>
          <w:szCs w:val="28"/>
        </w:rPr>
        <w:t xml:space="preserve">В случаях, предусмотренных пунктом 2 статьи 145 Кодекса </w:t>
      </w:r>
      <w:r w:rsidRPr="00261688">
        <w:rPr>
          <w:rFonts w:ascii="Times New Roman" w:hAnsi="Times New Roman"/>
          <w:sz w:val="28"/>
          <w:szCs w:val="28"/>
        </w:rPr>
        <w:t xml:space="preserve">по мотивированному запросу заинтересованного лица отдельные таможенные операции могут совершаться </w:t>
      </w:r>
      <w:proofErr w:type="spellStart"/>
      <w:r w:rsidRPr="00261688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261688">
        <w:rPr>
          <w:rFonts w:ascii="Times New Roman" w:hAnsi="Times New Roman"/>
          <w:sz w:val="28"/>
          <w:szCs w:val="28"/>
        </w:rPr>
        <w:t xml:space="preserve"> вне места нахождения и (или) вне времени работы </w:t>
      </w:r>
      <w:proofErr w:type="spellStart"/>
      <w:r w:rsidRPr="0026168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261688">
        <w:rPr>
          <w:rFonts w:ascii="Times New Roman" w:hAnsi="Times New Roman"/>
          <w:sz w:val="28"/>
          <w:szCs w:val="28"/>
        </w:rPr>
        <w:t>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>9.</w:t>
      </w:r>
      <w:r w:rsidRPr="00261688">
        <w:rPr>
          <w:rFonts w:ascii="Times New Roman" w:eastAsia="Calibri" w:hAnsi="Times New Roman"/>
          <w:sz w:val="28"/>
          <w:szCs w:val="28"/>
          <w:lang w:val="kk-KZ" w:eastAsia="zh-TW"/>
        </w:rPr>
        <w:t xml:space="preserve"> </w:t>
      </w:r>
      <w:r w:rsidRPr="00261688">
        <w:rPr>
          <w:rFonts w:ascii="Times New Roman" w:eastAsia="Calibri" w:hAnsi="Times New Roman"/>
          <w:sz w:val="28"/>
          <w:szCs w:val="28"/>
          <w:lang w:eastAsia="zh-TW"/>
        </w:rPr>
        <w:t>Для оказания в электронной форме государственной услуги необходимо: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>через информационную систему: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наличие на лицевом счете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услугополучателя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необходимого размера денежных средств, подтверждающих уплату таможенных платежей и налогов.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представление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услугополучателем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документов в электронном виде, в случае, если информационная система контроля управления рисками выдала рекомендации по принятию мер по предотвращению и минимизации рисков.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В случае если информационная система контроля управления рисками выдала рекомендации по принятию мер по предотвращению и минимизации рисков дополнительные документы представляются по запросу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услугодателя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в электронном виде посредством информационной системы.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к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услугодателю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: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ru-RU"/>
        </w:rPr>
      </w:pP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декларация,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электронная копия 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декларации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и документы, на основании которых заполнена декларация, если иное не установлено Кодексом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: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к таким документам относятся:</w:t>
      </w:r>
    </w:p>
    <w:p w:rsidR="00261688" w:rsidRPr="00261688" w:rsidRDefault="00261688" w:rsidP="0026168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документы, подтверждающие совершение сделки с товарами, а в случае отсутствия такой сделки – иные документы, подтверждающие право владения, пользования и (или) распоряжения товарами, а также иные коммерческие документы, имеющиеся в распоряжении декларанта или таможенного представителя;</w:t>
      </w:r>
    </w:p>
    <w:p w:rsidR="00261688" w:rsidRPr="00261688" w:rsidRDefault="00261688" w:rsidP="0026168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транспортные (перевозочные) документы;</w:t>
      </w:r>
    </w:p>
    <w:p w:rsidR="00261688" w:rsidRPr="00261688" w:rsidRDefault="00261688" w:rsidP="0026168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документы, подтверждающие соблюдение запретов и ограничений, мер защиты внутреннего рынка;</w:t>
      </w:r>
    </w:p>
    <w:p w:rsidR="00261688" w:rsidRPr="00261688" w:rsidRDefault="00261688" w:rsidP="0026168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документы о происхождении товаров;</w:t>
      </w:r>
    </w:p>
    <w:p w:rsidR="00261688" w:rsidRPr="00261688" w:rsidRDefault="00261688" w:rsidP="0026168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документы, подтверждающие уплату таможенных платежей, налогов, специальных, антидемпинговых, компенсационных пошлин и (или) обеспечение исполнения обязанности по уплате таможенных пошлин, налогов, специальных, антидемпинговых, компенсационных пошлин;</w:t>
      </w:r>
    </w:p>
    <w:p w:rsidR="00261688" w:rsidRPr="00261688" w:rsidRDefault="00261688" w:rsidP="0026168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документы, подтверждающие соблюдение целей и условий предоставления льгот по уплате таможенных платежей, налогов.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Для идентификации личности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услугополучателя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предъявляется документ, удостоверяющий личность.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Истребование от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услугополучателей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документов, которые могут быть получены из информационных систем, не допускается.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Услугодатель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получает согласие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услугополучателя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При сдаче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услугополучателем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всех необходимых документов через портал – в «личном кабинете»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услугополучателя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отображается статус о принятии запроса для оказания государственной.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TW"/>
        </w:rPr>
      </w:pPr>
      <w:r w:rsidRPr="00261688">
        <w:rPr>
          <w:rFonts w:ascii="Times New Roman" w:eastAsia="Calibri" w:hAnsi="Times New Roman"/>
          <w:sz w:val="28"/>
          <w:szCs w:val="28"/>
          <w:lang w:val="kk-KZ" w:eastAsia="zh-TW"/>
        </w:rPr>
        <w:t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10. Основаниями для отказа в оказании государственной услуги являются несоблюдение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услугополучателем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следующих условий выпуска товаров: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1) невыполнение условий, при которых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услугодатель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производит выпуск товаров, в том числе условий, предусмотренных статьями 194, 195, 196 и 197 Кодекса,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2) невыполнение требований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об изменении (дополнении) сведений, заявленных в декларации на товары в виде ЭД, в случае, предусмотренном пунктом 2 статьи 183 Кодекса;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3) наступление при предварительном таможенном декларировании обстоятельств, предусмотренных пунктом 7 статьи 185 Кодекса;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4) несоблюдение при периодическом таможенном декларировании особенностей такого таможенного декларирования, предусмотренных 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br/>
        <w:t>пунктами 1 и 2 статьи 187 Кодекса, и (или) наличие у декларанта не исполненной в установленный срок обязанности по уплате таможенных платежей, специальных, антидемпинговых, компенсационных пошлин, процентов и (или) пеней;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5)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непредъявление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товара по требованию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в пределах сроков выпуска товаров, установленных пунктами 3 и 6 статьи 193 Кодекса;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6)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невозобновление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срока выпуска товаров в случаях, предусмотренных пунктами 6 и 11 статьи 198 Кодекса;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7) невыполнение требований, предусмотренных пунктами 2 и 7 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br/>
        <w:t>статьи 410 Кодекса;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8)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неотнесение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товаров, заявленных в пассажирской таможенной декларации, к товарам для личного пользования в соответствии с пунктом 4 статьи 339 Кодекса;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9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) выявление при проведении таможенного контроля товаров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нарушений таможенного законодательства Евразийского экономического союза и (или) таможенного, и иного законодательства Республики Казахстан, за исключением случаев, когда: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выявленные нарушения, не являющиеся основаниями для возбуждения административного или уголовного дела, устранены;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выявленные нарушения устранены и декларируемые товары не изъяты и на них не наложен арест в соответствии с законами Республики Казахстан;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возбуждено в отношении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услугополучателя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дело о банкротстве.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zh-TW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3. Порядок обжалования решений, действий (бездействий)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центрального государственного органа, </w:t>
      </w:r>
      <w:proofErr w:type="spellStart"/>
      <w:r w:rsidRPr="0026168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26168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и (или) их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должностных лиц по вопросам оказания государственных услуг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11. Жалобы на решения, действия (бездействия)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по адресам, указанным в пункте 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br/>
        <w:t>13 настоящего стандарта государственной услуги.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В жалобе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услугополучателя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указываются: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Обращение может вноситься через представителя </w:t>
      </w:r>
      <w:proofErr w:type="spellStart"/>
      <w:r w:rsidRPr="0026168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26168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Оформление представительства производится в порядке, установленном гражданским законодательством Республики Казахстан.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Обращение подписывается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услугополучателе</w:t>
      </w:r>
      <w:r w:rsidRPr="00261688"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 w:rsidRPr="00261688">
        <w:rPr>
          <w:rFonts w:ascii="Times New Roman" w:hAnsi="Times New Roman"/>
          <w:sz w:val="28"/>
          <w:szCs w:val="28"/>
          <w:lang w:eastAsia="ru-RU"/>
        </w:rPr>
        <w:t xml:space="preserve">, либо 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представителем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услугополучателя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26168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Должностное лицо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Прием видеообращения осуществляется через филиалы некоммерческого акционерного общества «Государственная корпорация «Правительства для граждан» (далее – Государственная корпорация) в явочном порядке при предъявлении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услугополучателем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документа, удостоверяющего личность.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Работник Государственной корпорации: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осуществляет идентификацию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услугополучателя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записывает сведения документа, удостоверяющего личность</w:t>
      </w:r>
      <w:r w:rsidRPr="00261688">
        <w:rPr>
          <w:rFonts w:ascii="Times New Roman" w:eastAsia="Calibri" w:hAnsi="Times New Roman"/>
          <w:sz w:val="28"/>
          <w:szCs w:val="28"/>
          <w:lang w:val="kk-KZ" w:eastAsia="ru-RU"/>
        </w:rPr>
        <w:t>,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в журнал «Регистрация граждан, подавших видеообращение»;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разъясняет основные правила подачи видеообращения;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проводит заявителя в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видеокабинку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для подачи видеообращения.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По результатам рассмотрения видеообращения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принимается решение. Решение направляется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услугополучателям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на почтовый адр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ес. Дополнительно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услугодатель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размещает и направляет ответ на электронный адрес, представленный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услуполучателем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, посредством информационной системы «Единая электронная почтовая система государственных органов Республики Казахстан».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Жалоба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услугополучателя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по вопросам оказания государственных услуг, поступившая в адрес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услугодателя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, уполномоченного органа по оценке и контролю качества оказания государственных услуг, подлежит рассмотрению в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соотвествии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с порядком, предусмотренным статьей 25 Закона Республики Казахстан от 15 апреля 2013 года «О государственных услугах».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>Информацию о порядке обжалования через портал можно получить посредством Единого контакт–центра.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12. В случае несогласия с результатами оказанной государственной услуги,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услугополучатель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b/>
          <w:sz w:val="28"/>
          <w:szCs w:val="28"/>
          <w:lang w:eastAsia="zh-TW"/>
        </w:rPr>
        <w:t>4. Иные требования с учетом особенностей оказания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b/>
          <w:sz w:val="28"/>
          <w:szCs w:val="28"/>
          <w:lang w:eastAsia="zh-TW"/>
        </w:rPr>
        <w:t>государственной услуги, в том числе оказываемой в электронной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b/>
          <w:sz w:val="28"/>
          <w:szCs w:val="28"/>
          <w:lang w:eastAsia="zh-TW"/>
        </w:rPr>
        <w:t>форме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13. </w:t>
      </w:r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Адреса мест оказания государственной услуги размещены на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ru-RU"/>
        </w:rPr>
        <w:t>интернет-ресурсах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bookmarkStart w:id="0" w:name="_GoBack"/>
      <w:bookmarkEnd w:id="0"/>
      <w:r w:rsidRPr="00261688">
        <w:rPr>
          <w:rFonts w:ascii="Times New Roman" w:eastAsia="Calibri" w:hAnsi="Times New Roman"/>
          <w:sz w:val="28"/>
          <w:szCs w:val="28"/>
          <w:lang w:eastAsia="ru-RU"/>
        </w:rPr>
        <w:t>www.kgd.gov.kz, www.minfin.gov.kz.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14.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Услугополучатель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имеет возможность получения государственной услуги в электронной форме при условии наличия ЭЦП.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lastRenderedPageBreak/>
        <w:t xml:space="preserve">15. </w:t>
      </w:r>
      <w:proofErr w:type="spellStart"/>
      <w:r w:rsidRPr="00261688">
        <w:rPr>
          <w:rFonts w:ascii="Times New Roman" w:eastAsia="Calibri" w:hAnsi="Times New Roman"/>
          <w:sz w:val="28"/>
          <w:szCs w:val="28"/>
          <w:lang w:eastAsia="zh-TW"/>
        </w:rPr>
        <w:t>Услугополучатель</w:t>
      </w:r>
      <w:proofErr w:type="spellEnd"/>
      <w:r w:rsidRPr="00261688">
        <w:rPr>
          <w:rFonts w:ascii="Times New Roman" w:eastAsia="Calibri" w:hAnsi="Times New Roman"/>
          <w:sz w:val="28"/>
          <w:szCs w:val="28"/>
          <w:lang w:eastAsia="zh-TW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на портале, Единого контакт-центра. 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TW"/>
        </w:rPr>
      </w:pPr>
      <w:r w:rsidRPr="00261688">
        <w:rPr>
          <w:rFonts w:ascii="Times New Roman" w:eastAsia="Calibri" w:hAnsi="Times New Roman"/>
          <w:sz w:val="28"/>
          <w:szCs w:val="28"/>
          <w:lang w:eastAsia="zh-TW"/>
        </w:rPr>
        <w:t>16. Контактные телефоны Единого контакт-центра: 1414, 8-800-080-7777.</w:t>
      </w: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261688" w:rsidRPr="00261688" w:rsidRDefault="00261688" w:rsidP="00261688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24371D" w:rsidRPr="00261688" w:rsidRDefault="004B652F" w:rsidP="00261688"/>
    <w:sectPr w:rsidR="0024371D" w:rsidRPr="00261688" w:rsidSect="00A2001C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709" w:footer="709" w:gutter="0"/>
      <w:pgNumType w:start="4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2F" w:rsidRDefault="004B652F">
      <w:pPr>
        <w:spacing w:after="0" w:line="240" w:lineRule="auto"/>
      </w:pPr>
      <w:r>
        <w:separator/>
      </w:r>
    </w:p>
  </w:endnote>
  <w:endnote w:type="continuationSeparator" w:id="0">
    <w:p w:rsidR="004B652F" w:rsidRDefault="004B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2F" w:rsidRDefault="004B652F">
      <w:pPr>
        <w:spacing w:after="0" w:line="240" w:lineRule="auto"/>
      </w:pPr>
      <w:r>
        <w:separator/>
      </w:r>
    </w:p>
  </w:footnote>
  <w:footnote w:type="continuationSeparator" w:id="0">
    <w:p w:rsidR="004B652F" w:rsidRDefault="004B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FF" w:rsidRDefault="00E53D76" w:rsidP="00C0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75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6FF" w:rsidRDefault="004B6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FF" w:rsidRPr="005A6CB4" w:rsidRDefault="00E53D76" w:rsidP="00C00BA8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5A6CB4">
      <w:rPr>
        <w:rStyle w:val="a5"/>
        <w:rFonts w:ascii="Times New Roman" w:hAnsi="Times New Roman"/>
        <w:sz w:val="28"/>
        <w:szCs w:val="28"/>
      </w:rPr>
      <w:fldChar w:fldCharType="begin"/>
    </w:r>
    <w:r w:rsidR="0082757A" w:rsidRPr="005A6CB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5A6CB4">
      <w:rPr>
        <w:rStyle w:val="a5"/>
        <w:rFonts w:ascii="Times New Roman" w:hAnsi="Times New Roman"/>
        <w:sz w:val="28"/>
        <w:szCs w:val="28"/>
      </w:rPr>
      <w:fldChar w:fldCharType="separate"/>
    </w:r>
    <w:r w:rsidR="00261688">
      <w:rPr>
        <w:rStyle w:val="a5"/>
        <w:rFonts w:ascii="Times New Roman" w:hAnsi="Times New Roman"/>
        <w:noProof/>
        <w:sz w:val="28"/>
        <w:szCs w:val="28"/>
      </w:rPr>
      <w:t>482</w:t>
    </w:r>
    <w:r w:rsidRPr="005A6CB4">
      <w:rPr>
        <w:rStyle w:val="a5"/>
        <w:rFonts w:ascii="Times New Roman" w:hAnsi="Times New Roman"/>
        <w:sz w:val="28"/>
        <w:szCs w:val="28"/>
      </w:rPr>
      <w:fldChar w:fldCharType="end"/>
    </w:r>
  </w:p>
  <w:p w:rsidR="00EB76FF" w:rsidRPr="00B71AA1" w:rsidRDefault="004B652F" w:rsidP="00532058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878835"/>
    </w:sdtPr>
    <w:sdtEndPr>
      <w:rPr>
        <w:rFonts w:ascii="Times New Roman" w:hAnsi="Times New Roman"/>
        <w:sz w:val="28"/>
        <w:szCs w:val="28"/>
      </w:rPr>
    </w:sdtEndPr>
    <w:sdtContent>
      <w:p w:rsidR="005A6CB4" w:rsidRPr="005A6CB4" w:rsidRDefault="00E53D7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A6CB4">
          <w:rPr>
            <w:rFonts w:ascii="Times New Roman" w:hAnsi="Times New Roman"/>
            <w:sz w:val="28"/>
            <w:szCs w:val="28"/>
          </w:rPr>
          <w:fldChar w:fldCharType="begin"/>
        </w:r>
        <w:r w:rsidR="005A6CB4" w:rsidRPr="005A6CB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A6CB4">
          <w:rPr>
            <w:rFonts w:ascii="Times New Roman" w:hAnsi="Times New Roman"/>
            <w:sz w:val="28"/>
            <w:szCs w:val="28"/>
          </w:rPr>
          <w:fldChar w:fldCharType="separate"/>
        </w:r>
        <w:r w:rsidR="005A754C">
          <w:rPr>
            <w:rFonts w:ascii="Times New Roman" w:hAnsi="Times New Roman"/>
            <w:noProof/>
            <w:sz w:val="28"/>
            <w:szCs w:val="28"/>
          </w:rPr>
          <w:t>1</w:t>
        </w:r>
        <w:r w:rsidRPr="005A6CB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A6CB4" w:rsidRDefault="005A6C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01"/>
    <w:rsid w:val="00015B75"/>
    <w:rsid w:val="00024D63"/>
    <w:rsid w:val="00046E48"/>
    <w:rsid w:val="0005313A"/>
    <w:rsid w:val="000732DF"/>
    <w:rsid w:val="000A4C64"/>
    <w:rsid w:val="000B73C7"/>
    <w:rsid w:val="000C2D77"/>
    <w:rsid w:val="00107DA9"/>
    <w:rsid w:val="00131638"/>
    <w:rsid w:val="001335E8"/>
    <w:rsid w:val="00137105"/>
    <w:rsid w:val="001428D9"/>
    <w:rsid w:val="00165D09"/>
    <w:rsid w:val="00175216"/>
    <w:rsid w:val="001D5F5A"/>
    <w:rsid w:val="00223271"/>
    <w:rsid w:val="00231FAF"/>
    <w:rsid w:val="00261688"/>
    <w:rsid w:val="00267FB4"/>
    <w:rsid w:val="002B0F0A"/>
    <w:rsid w:val="002F05B2"/>
    <w:rsid w:val="00362BF6"/>
    <w:rsid w:val="0036314C"/>
    <w:rsid w:val="0036492B"/>
    <w:rsid w:val="0037513F"/>
    <w:rsid w:val="003801FD"/>
    <w:rsid w:val="00393347"/>
    <w:rsid w:val="003B042A"/>
    <w:rsid w:val="003C0D8D"/>
    <w:rsid w:val="003C612C"/>
    <w:rsid w:val="00414A2E"/>
    <w:rsid w:val="00420A09"/>
    <w:rsid w:val="00421A82"/>
    <w:rsid w:val="00445929"/>
    <w:rsid w:val="00447486"/>
    <w:rsid w:val="00486CCC"/>
    <w:rsid w:val="004A2BCB"/>
    <w:rsid w:val="004B652F"/>
    <w:rsid w:val="004B7756"/>
    <w:rsid w:val="004D34DF"/>
    <w:rsid w:val="004E07C3"/>
    <w:rsid w:val="005325D6"/>
    <w:rsid w:val="005651F2"/>
    <w:rsid w:val="00585790"/>
    <w:rsid w:val="00587F88"/>
    <w:rsid w:val="00592960"/>
    <w:rsid w:val="005A02EE"/>
    <w:rsid w:val="005A6CB4"/>
    <w:rsid w:val="005A754C"/>
    <w:rsid w:val="005B1D61"/>
    <w:rsid w:val="005B4E59"/>
    <w:rsid w:val="005D3DC0"/>
    <w:rsid w:val="005E41DF"/>
    <w:rsid w:val="00627B95"/>
    <w:rsid w:val="0063647D"/>
    <w:rsid w:val="00645D7C"/>
    <w:rsid w:val="00665FFC"/>
    <w:rsid w:val="006707C1"/>
    <w:rsid w:val="00690274"/>
    <w:rsid w:val="00696745"/>
    <w:rsid w:val="006A5556"/>
    <w:rsid w:val="006B31EF"/>
    <w:rsid w:val="006B7A10"/>
    <w:rsid w:val="006D5FBF"/>
    <w:rsid w:val="006E2F24"/>
    <w:rsid w:val="006F5557"/>
    <w:rsid w:val="00701B55"/>
    <w:rsid w:val="00705D57"/>
    <w:rsid w:val="00717527"/>
    <w:rsid w:val="00724074"/>
    <w:rsid w:val="007268CF"/>
    <w:rsid w:val="0074616E"/>
    <w:rsid w:val="007A0742"/>
    <w:rsid w:val="007A0C05"/>
    <w:rsid w:val="007A662B"/>
    <w:rsid w:val="007B224A"/>
    <w:rsid w:val="007B6F7E"/>
    <w:rsid w:val="007C473D"/>
    <w:rsid w:val="007D2234"/>
    <w:rsid w:val="007D5412"/>
    <w:rsid w:val="007F27F6"/>
    <w:rsid w:val="007F3A1A"/>
    <w:rsid w:val="00805E4C"/>
    <w:rsid w:val="00807548"/>
    <w:rsid w:val="0082757A"/>
    <w:rsid w:val="00835AB5"/>
    <w:rsid w:val="008B0542"/>
    <w:rsid w:val="008B7FA7"/>
    <w:rsid w:val="008C0791"/>
    <w:rsid w:val="008D206E"/>
    <w:rsid w:val="008D56F5"/>
    <w:rsid w:val="00905467"/>
    <w:rsid w:val="00912D79"/>
    <w:rsid w:val="009238CE"/>
    <w:rsid w:val="009326EF"/>
    <w:rsid w:val="009332F7"/>
    <w:rsid w:val="00956481"/>
    <w:rsid w:val="00965FDE"/>
    <w:rsid w:val="00992CD2"/>
    <w:rsid w:val="009945DA"/>
    <w:rsid w:val="009966C6"/>
    <w:rsid w:val="009A2B5B"/>
    <w:rsid w:val="009A321B"/>
    <w:rsid w:val="009B15FD"/>
    <w:rsid w:val="009D6360"/>
    <w:rsid w:val="009E241D"/>
    <w:rsid w:val="009E2EF2"/>
    <w:rsid w:val="009F13B6"/>
    <w:rsid w:val="009F5AB7"/>
    <w:rsid w:val="00A1573C"/>
    <w:rsid w:val="00A2001C"/>
    <w:rsid w:val="00A33341"/>
    <w:rsid w:val="00A406C8"/>
    <w:rsid w:val="00A7390B"/>
    <w:rsid w:val="00A8603D"/>
    <w:rsid w:val="00AD3C78"/>
    <w:rsid w:val="00AD7846"/>
    <w:rsid w:val="00AF4B18"/>
    <w:rsid w:val="00B254F6"/>
    <w:rsid w:val="00B954CE"/>
    <w:rsid w:val="00BE1235"/>
    <w:rsid w:val="00BF71D8"/>
    <w:rsid w:val="00C32005"/>
    <w:rsid w:val="00C45613"/>
    <w:rsid w:val="00C47A29"/>
    <w:rsid w:val="00C72AFA"/>
    <w:rsid w:val="00C77A29"/>
    <w:rsid w:val="00CE448F"/>
    <w:rsid w:val="00D02BEE"/>
    <w:rsid w:val="00D06DD6"/>
    <w:rsid w:val="00D1762D"/>
    <w:rsid w:val="00D21206"/>
    <w:rsid w:val="00D315DA"/>
    <w:rsid w:val="00D53F1E"/>
    <w:rsid w:val="00D60611"/>
    <w:rsid w:val="00D82C24"/>
    <w:rsid w:val="00D956F6"/>
    <w:rsid w:val="00DC49E3"/>
    <w:rsid w:val="00DF3428"/>
    <w:rsid w:val="00DF45C3"/>
    <w:rsid w:val="00E20501"/>
    <w:rsid w:val="00E53D76"/>
    <w:rsid w:val="00EA2BC7"/>
    <w:rsid w:val="00EB5E27"/>
    <w:rsid w:val="00F2768E"/>
    <w:rsid w:val="00F3109B"/>
    <w:rsid w:val="00F50555"/>
    <w:rsid w:val="00F50757"/>
    <w:rsid w:val="00F56DA2"/>
    <w:rsid w:val="00F666BC"/>
    <w:rsid w:val="00F74E0B"/>
    <w:rsid w:val="00F87DBE"/>
    <w:rsid w:val="00F92D12"/>
    <w:rsid w:val="00FD0C4F"/>
    <w:rsid w:val="00FE3DDC"/>
    <w:rsid w:val="00FE466C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C4283-D3B3-43A0-A40D-94A02E58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5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20501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E20501"/>
  </w:style>
  <w:style w:type="paragraph" w:styleId="a6">
    <w:name w:val="footer"/>
    <w:basedOn w:val="a"/>
    <w:link w:val="a7"/>
    <w:uiPriority w:val="99"/>
    <w:unhideWhenUsed/>
    <w:rsid w:val="005A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CB4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F92D12"/>
    <w:rPr>
      <w:color w:val="0000FF" w:themeColor="hyperlink"/>
      <w:u w:val="singl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420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420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99"/>
    <w:qFormat/>
    <w:rsid w:val="00F5075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3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25D6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basedOn w:val="a0"/>
    <w:rsid w:val="00F2768E"/>
  </w:style>
  <w:style w:type="paragraph" w:customStyle="1" w:styleId="1">
    <w:name w:val="Без интервала1"/>
    <w:rsid w:val="0037513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6E35-7A02-41EE-920D-AFFFE90D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Динара Ботанова</cp:lastModifiedBy>
  <cp:revision>3</cp:revision>
  <cp:lastPrinted>2015-06-12T03:36:00Z</cp:lastPrinted>
  <dcterms:created xsi:type="dcterms:W3CDTF">2019-01-21T05:10:00Z</dcterms:created>
  <dcterms:modified xsi:type="dcterms:W3CDTF">2019-01-21T05:11:00Z</dcterms:modified>
</cp:coreProperties>
</file>