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04D7" w14:textId="77777777" w:rsidR="00EC49E7" w:rsidRPr="00EC49E7" w:rsidRDefault="00EC49E7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ҚР </w:t>
      </w:r>
      <w:proofErr w:type="spellStart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Қаржы</w:t>
      </w:r>
      <w:proofErr w:type="spellEnd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министрінің</w:t>
      </w:r>
      <w:proofErr w:type="spellEnd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2021 </w:t>
      </w:r>
      <w:proofErr w:type="spellStart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жылғы</w:t>
      </w:r>
      <w:proofErr w:type="spellEnd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19 сәуірдегі </w:t>
      </w:r>
    </w:p>
    <w:p w14:paraId="2EEE52C2" w14:textId="77B48EA2" w:rsidR="00EC49E7" w:rsidRPr="00EC49E7" w:rsidRDefault="00EC49E7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№365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бекітліген</w:t>
      </w:r>
      <w:proofErr w:type="spellEnd"/>
    </w:p>
    <w:p w14:paraId="762E3A6E" w14:textId="77777777" w:rsidR="00EC49E7" w:rsidRPr="00EC49E7" w:rsidRDefault="00EC49E7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2020-2024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жылдарға</w:t>
      </w:r>
      <w:proofErr w:type="spellEnd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арналған</w:t>
      </w:r>
      <w:proofErr w:type="spellEnd"/>
    </w:p>
    <w:p w14:paraId="11444220" w14:textId="66848CE3" w:rsidR="00EC49E7" w:rsidRPr="00EC49E7" w:rsidRDefault="00EC49E7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Қазақстан</w:t>
      </w:r>
      <w:proofErr w:type="spellEnd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Республикасы</w:t>
      </w:r>
      <w:proofErr w:type="spellEnd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Қаржы</w:t>
      </w:r>
      <w:bookmarkStart w:id="0" w:name="_GoBack"/>
      <w:bookmarkEnd w:id="0"/>
      <w:proofErr w:type="spellEnd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министрлігінің</w:t>
      </w:r>
      <w:proofErr w:type="spellEnd"/>
    </w:p>
    <w:p w14:paraId="02A97702" w14:textId="57FF3F5A" w:rsidR="00EC49E7" w:rsidRDefault="00EC49E7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kk-KZ"/>
        </w:rPr>
      </w:pPr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Даму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жоспарын</w:t>
      </w:r>
      <w:proofErr w:type="spellEnd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іске</w:t>
      </w:r>
      <w:proofErr w:type="spellEnd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асыру</w:t>
      </w:r>
      <w:proofErr w:type="spellEnd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туралы</w:t>
      </w:r>
      <w:proofErr w:type="spellEnd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есеп</w:t>
      </w:r>
      <w:proofErr w:type="spellEnd"/>
    </w:p>
    <w:p w14:paraId="60AC8A9B" w14:textId="5EC6CEE2" w:rsidR="00EC49E7" w:rsidRPr="00EC49E7" w:rsidRDefault="00EC49E7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Есепті</w:t>
      </w:r>
      <w:proofErr w:type="spellEnd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кезең</w:t>
      </w:r>
      <w:proofErr w:type="spellEnd"/>
      <w:r w:rsidRPr="00E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:  </w:t>
      </w:r>
      <w:r w:rsidRPr="0097428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2021 </w:t>
      </w:r>
      <w:proofErr w:type="spellStart"/>
      <w:r w:rsidRPr="0097428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жыл</w:t>
      </w:r>
      <w:proofErr w:type="spellEnd"/>
    </w:p>
    <w:p w14:paraId="022C68F8" w14:textId="0DABEC70" w:rsidR="00593F4B" w:rsidRPr="00EC49E7" w:rsidRDefault="00EC49E7" w:rsidP="00593F4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" w:name="_Hlk6403963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Нысаналы индикаторларға қол жеткізу </w:t>
      </w:r>
    </w:p>
    <w:tbl>
      <w:tblPr>
        <w:tblW w:w="10632" w:type="dxa"/>
        <w:tblInd w:w="-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708"/>
        <w:gridCol w:w="851"/>
        <w:gridCol w:w="879"/>
        <w:gridCol w:w="4650"/>
      </w:tblGrid>
      <w:tr w:rsidR="00593F4B" w:rsidRPr="00593F4B" w14:paraId="63C50045" w14:textId="77777777" w:rsidTr="00D8433B">
        <w:trPr>
          <w:trHeight w:val="7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7CC3A9C3" w14:textId="5D9C1C86" w:rsidR="00D8433B" w:rsidRPr="00D8433B" w:rsidRDefault="00D8433B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Нысаналы индикатордың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9C78" w14:textId="00D6AD65" w:rsidR="00593F4B" w:rsidRPr="00D8433B" w:rsidRDefault="00D8433B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Ақпарат көзі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39776" w14:textId="3B32992C" w:rsidR="00593F4B" w:rsidRPr="00D8433B" w:rsidRDefault="00D8433B" w:rsidP="00D8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D66B0D" w14:textId="57FD46D8" w:rsidR="002C73C2" w:rsidRPr="002C73C2" w:rsidRDefault="00D8433B" w:rsidP="00D843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Есепті кезең </w:t>
            </w:r>
            <w:r w:rsidR="002C73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9BC0" w14:textId="238588EE" w:rsidR="00593F4B" w:rsidRPr="00D8433B" w:rsidRDefault="00D8433B" w:rsidP="00593F4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Орындалу туралы ақпарат</w:t>
            </w:r>
          </w:p>
        </w:tc>
      </w:tr>
      <w:tr w:rsidR="00593F4B" w:rsidRPr="00593F4B" w14:paraId="76C082CC" w14:textId="77777777" w:rsidTr="00D8433B">
        <w:trPr>
          <w:trHeight w:val="72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A16" w14:textId="77777777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DA80" w14:textId="77777777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64B" w14:textId="77777777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0CB443" w14:textId="032A6813" w:rsidR="00593F4B" w:rsidRPr="00D8433B" w:rsidRDefault="00D8433B" w:rsidP="00593F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6C4017" w14:textId="77777777" w:rsidR="00593F4B" w:rsidRPr="00593F4B" w:rsidRDefault="00593F4B" w:rsidP="00593F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6C59" w14:textId="77777777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93F4B" w:rsidRPr="00593F4B" w14:paraId="6B196298" w14:textId="77777777" w:rsidTr="00D8433B">
        <w:trPr>
          <w:trHeight w:val="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5266BEAD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4AADC259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07059F76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31E25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87F0E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DF219D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907C05" w:rsidRPr="00593F4B" w14:paraId="72690EE4" w14:textId="77777777" w:rsidTr="00D8433B">
        <w:trPr>
          <w:trHeight w:val="3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92CDB7" w14:textId="606F806A" w:rsidR="006C658E" w:rsidRPr="006C658E" w:rsidRDefault="00907C05" w:rsidP="006C658E">
            <w:pPr>
              <w:spacing w:after="360" w:line="28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3F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433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r w:rsidR="006C658E" w:rsidRPr="006C658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ЖІӨ-дегі шоғырландырылған бюджеттің салық түсімдерінің үлесі</w:t>
            </w:r>
            <w:r w:rsidR="00D843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D843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макро-индикаторы</w:t>
            </w:r>
          </w:p>
          <w:p w14:paraId="76607872" w14:textId="3A46177E" w:rsidR="006C658E" w:rsidRPr="006C658E" w:rsidRDefault="006C658E" w:rsidP="00593F4B">
            <w:pPr>
              <w:spacing w:after="360" w:line="28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F9A1A0" w14:textId="4846D082" w:rsidR="00907C05" w:rsidRPr="006C658E" w:rsidRDefault="006C658E" w:rsidP="00593F4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Әкімшілік деректер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BA6CD7" w14:textId="54145AD8" w:rsidR="00907C05" w:rsidRPr="00593F4B" w:rsidRDefault="00907C05" w:rsidP="0059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EE355E" w14:textId="114FEAF8" w:rsidR="00907C05" w:rsidRPr="00510681" w:rsidRDefault="00907C05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1464F6" w14:textId="79EEAAD6" w:rsidR="00907C05" w:rsidRPr="008830A6" w:rsidRDefault="00907C05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16,6 </w:t>
            </w:r>
            <w:r w:rsidR="008830A6" w:rsidRPr="008830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="006C65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алдын</w:t>
            </w:r>
            <w:proofErr w:type="spellEnd"/>
            <w:r w:rsidR="006C65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ала </w:t>
            </w:r>
            <w:proofErr w:type="spellStart"/>
            <w:r w:rsidR="006C65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мәлімет</w:t>
            </w:r>
            <w:proofErr w:type="spellEnd"/>
            <w:r w:rsidR="008830A6" w:rsidRPr="008830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)</w:t>
            </w:r>
          </w:p>
          <w:p w14:paraId="6B823901" w14:textId="4A936FE0" w:rsidR="00907C05" w:rsidRPr="00F42A8F" w:rsidRDefault="00907C05" w:rsidP="00F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B0C729" w14:textId="04763B70" w:rsidR="00907C05" w:rsidRPr="00907C05" w:rsidRDefault="006C658E" w:rsidP="00907C0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Орындалуда</w:t>
            </w:r>
            <w:r w:rsidR="00907C05" w:rsidRPr="00907C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0C28A649" w14:textId="77777777" w:rsidR="006C658E" w:rsidRDefault="006C658E" w:rsidP="006C658E">
            <w:pPr>
              <w:widowControl w:val="0"/>
              <w:pBdr>
                <w:bottom w:val="single" w:sz="4" w:space="6" w:color="FFFFFF"/>
              </w:pBd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статистика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бюросы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басшысының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бұйрығымен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статистикалық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жұмыстар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жоспарына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ЖІӨ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F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044D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044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4DF3">
              <w:rPr>
                <w:rFonts w:ascii="Times New Roman" w:hAnsi="Times New Roman" w:cs="Times New Roman"/>
                <w:b/>
                <w:sz w:val="28"/>
                <w:szCs w:val="28"/>
              </w:rPr>
              <w:t>жылғы</w:t>
            </w:r>
            <w:proofErr w:type="spellEnd"/>
            <w:r w:rsidRPr="00044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</w:t>
            </w:r>
            <w:proofErr w:type="spellStart"/>
            <w:r w:rsidRPr="00044DF3">
              <w:rPr>
                <w:rFonts w:ascii="Times New Roman" w:hAnsi="Times New Roman" w:cs="Times New Roman"/>
                <w:b/>
                <w:sz w:val="28"/>
                <w:szCs w:val="28"/>
              </w:rPr>
              <w:t>шілдеде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орналастырылады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0A5428" w14:textId="0E7FF958" w:rsidR="006C658E" w:rsidRPr="006C658E" w:rsidRDefault="006C658E" w:rsidP="006C658E">
            <w:pPr>
              <w:widowControl w:val="0"/>
              <w:pBdr>
                <w:bottom w:val="single" w:sz="4" w:space="6" w:color="FFFFFF"/>
              </w:pBd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Осыған байланысты,  Министрлік тарапынан осы индикаторды қорытынды орындау </w:t>
            </w:r>
            <w:r w:rsidRPr="006C658E">
              <w:rPr>
                <w:rFonts w:ascii="Times New Roman" w:hAnsi="Times New Roman" w:cs="Times New Roman"/>
                <w:b/>
                <w:sz w:val="28"/>
                <w:szCs w:val="28"/>
              </w:rPr>
              <w:t>2022 жылғы тамызда ұсынылатын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болады.</w:t>
            </w:r>
          </w:p>
          <w:p w14:paraId="245E32BA" w14:textId="77777777" w:rsidR="006C658E" w:rsidRPr="005F1869" w:rsidRDefault="006C658E" w:rsidP="006C658E">
            <w:pPr>
              <w:widowControl w:val="0"/>
              <w:pBdr>
                <w:bottom w:val="single" w:sz="4" w:space="6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ала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ЖІӨ-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дегі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шоғырландырылған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бюджеттің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бюджет +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қор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салық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түсімдерінің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үлесі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16,6% -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құрайды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(ЖІӨ-де 80,3 трлн.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нақты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салық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түсімдері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13,3 трлн.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930C1C7" w14:textId="77777777" w:rsidR="006C658E" w:rsidRPr="005F1869" w:rsidRDefault="006C658E" w:rsidP="006C658E">
            <w:pPr>
              <w:widowControl w:val="0"/>
              <w:pBdr>
                <w:bottom w:val="single" w:sz="4" w:space="6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Шоғырландырылған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бюджетке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алықтық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түсімдер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111,0%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орындалды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12 013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болған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1 316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млрд.теңгеге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асыра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орындаумен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13 329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түсті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), 2020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жылмен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салыстырғанда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33,8%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3 367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өсті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(2020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нақты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9 962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2BD7C817" w14:textId="77777777" w:rsidR="006C658E" w:rsidRDefault="006C658E" w:rsidP="006C658E">
            <w:pPr>
              <w:widowControl w:val="0"/>
              <w:pBdr>
                <w:bottom w:val="single" w:sz="4" w:space="6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алықтық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түсімдер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102,1% -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орындалды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6 914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болғанда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144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млрд.теңгеге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асыра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орындаумен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7 058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түсті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), 2021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жылмен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салыстырғанда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26,6% -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1 482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өсті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(2020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факт 5 576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7325D77" w14:textId="77777777" w:rsidR="006C658E" w:rsidRDefault="006C658E" w:rsidP="006C658E">
            <w:pPr>
              <w:widowControl w:val="0"/>
              <w:pBdr>
                <w:bottom w:val="single" w:sz="4" w:space="6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жылмен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салыстырғанда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бюджетке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түсетін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түсімдердің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ең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өсу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сомалары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КТС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533,7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34,2%-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, ЭКБ </w:t>
            </w:r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экспорттық</w:t>
            </w:r>
            <w:proofErr w:type="spellEnd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кедендік</w:t>
            </w:r>
            <w:proofErr w:type="spellEnd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баж</w:t>
            </w:r>
            <w:proofErr w:type="spellEnd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A71A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мұнайға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441,0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млрд.теңгеге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1,8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, ЕАЭО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елдерінен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импортқа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ҚҚС 235,8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34,7% -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елден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импортқа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ҚҚС 149,3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23,1% -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ПҚӨС</w:t>
            </w:r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пайдалы</w:t>
            </w:r>
            <w:proofErr w:type="spellEnd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қазбаларды</w:t>
            </w:r>
            <w:proofErr w:type="spellEnd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өндіру</w:t>
            </w:r>
            <w:proofErr w:type="spellEnd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салығы</w:t>
            </w:r>
            <w:proofErr w:type="spellEnd"/>
            <w:r w:rsidRPr="00A71A2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116,8 млрд.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теңгеге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35,1% -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өсті</w:t>
            </w:r>
            <w:proofErr w:type="spellEnd"/>
            <w:r w:rsidRPr="005F1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385262" w14:textId="77777777" w:rsidR="006C658E" w:rsidRDefault="006C658E" w:rsidP="006C658E">
            <w:pPr>
              <w:widowControl w:val="0"/>
              <w:pBdr>
                <w:bottom w:val="single" w:sz="4" w:space="6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1BDBE" w14:textId="7D827A3B" w:rsidR="006C658E" w:rsidRPr="006C658E" w:rsidRDefault="006C658E" w:rsidP="00223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A19" w:rsidRPr="00593F4B" w14:paraId="65166FA1" w14:textId="77777777" w:rsidTr="00D8433B">
        <w:trPr>
          <w:trHeight w:val="3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C0845" w14:textId="07E40E02" w:rsidR="006C658E" w:rsidRPr="00275140" w:rsidRDefault="006C658E" w:rsidP="006C658E">
            <w:pPr>
              <w:pStyle w:val="a9"/>
              <w:tabs>
                <w:tab w:val="left" w:pos="361"/>
              </w:tabs>
              <w:spacing w:line="276" w:lineRule="auto"/>
              <w:ind w:left="7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lastRenderedPageBreak/>
              <w:t>Мұнай емес секторынан салықтық түсімдер өсу темпі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163049" w14:textId="0F8FDC2A" w:rsidR="00985A19" w:rsidRPr="00275140" w:rsidRDefault="006C658E" w:rsidP="0027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Әкімшілік деректер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4725AE" w14:textId="395118CF" w:rsidR="00985A19" w:rsidRPr="00275140" w:rsidRDefault="00985A19" w:rsidP="00275140">
            <w:pPr>
              <w:pStyle w:val="a9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75140">
              <w:rPr>
                <w:color w:val="000000"/>
                <w:spacing w:val="2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7D50C9" w14:textId="77318BF2" w:rsidR="00985A19" w:rsidRPr="00593F4B" w:rsidRDefault="00985A19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912148" w14:textId="240A2670" w:rsidR="00985A19" w:rsidRPr="00593F4B" w:rsidRDefault="00985A19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122,5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3E1A6F" w14:textId="57B516D8" w:rsidR="00985A19" w:rsidRPr="00985A19" w:rsidRDefault="006C658E" w:rsidP="00985A19">
            <w:pPr>
              <w:pStyle w:val="a8"/>
              <w:jc w:val="both"/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  <w:t>Қол жеткізілді</w:t>
            </w:r>
            <w:r w:rsidR="00985A19" w:rsidRPr="00985A19"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  <w:t xml:space="preserve"> </w:t>
            </w:r>
          </w:p>
          <w:p w14:paraId="30C023D8" w14:textId="4C3B65DD" w:rsidR="00F074BC" w:rsidRPr="00D8433B" w:rsidRDefault="00F074BC" w:rsidP="009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33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Мұнай емес сектор бойынша шоғырландырылған бюджетке </w:t>
            </w:r>
            <w:r w:rsidRPr="00D84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(мемлекеттік бюджет+ Ұлттық қор) </w:t>
            </w:r>
            <w:r w:rsidRPr="00D843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салықтық түсімдер 2021 жылы 9 132 млрд.теңгені құрайды, 2020 жылға қарағанда 22,5 </w:t>
            </w:r>
            <w:r w:rsidRPr="00D8433B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% - </w:t>
            </w:r>
            <w:r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немесе 1 678 млрд. теңгеге </w:t>
            </w:r>
            <w:r w:rsidRPr="00D84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(2020 жылға – 7454 млрд.теңге) өсті.</w:t>
            </w:r>
            <w:r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5865C889" w14:textId="77777777" w:rsidR="0016017F" w:rsidRPr="00D8433B" w:rsidRDefault="00F074BC" w:rsidP="009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жылмен салыстырғанда 2021  жылы түсімдердің өсуіне әсер еткен негізігі экспорттық позицияларға, оның ішінде мұнайға 68,7% - ға мысқа 50,8% - ға, алюминиийге 44,2% - ға</w:t>
            </w:r>
            <w:r w:rsidR="0016017F"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6017F"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мырышқа 32,2%, күміске 22,5% - ға, қорғасынға 20,4% және алтынға </w:t>
            </w:r>
            <w:r w:rsidR="0016017F"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1,7% - ға бағаның өсуі болып табылады. </w:t>
            </w:r>
          </w:p>
          <w:p w14:paraId="4816243E" w14:textId="29E43236" w:rsidR="00F074BC" w:rsidRPr="00D8433B" w:rsidRDefault="0016017F" w:rsidP="009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Мұнай және ТМК </w:t>
            </w:r>
            <w:r w:rsidRPr="00D843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(тау-кен металлургия кешені) </w:t>
            </w:r>
            <w:r w:rsidRPr="00D84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қоспағанда 2021 жылға салық түсімдерінің ең көп үлесі экономиканың мынадай секторларына тиесілі:  </w:t>
            </w:r>
          </w:p>
          <w:p w14:paraId="3B47D239" w14:textId="1D0907BC" w:rsidR="0090329F" w:rsidRDefault="0016017F" w:rsidP="00737B9A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көтерме</w:t>
            </w:r>
            <w:proofErr w:type="spellEnd"/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бөлшек</w:t>
            </w:r>
            <w:proofErr w:type="spellEnd"/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сауда</w:t>
            </w:r>
            <w:proofErr w:type="spellEnd"/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автомобильдер</w:t>
            </w:r>
            <w:proofErr w:type="spellEnd"/>
            <w:r w:rsidRP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 мотоциклдерді жөндеу 17,0</w:t>
            </w:r>
            <w:r w:rsidRPr="00903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E7A819F" w14:textId="13C5F13B" w:rsidR="0016017F" w:rsidRDefault="0016017F" w:rsidP="00737B9A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өңдеу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өнекәсібі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12,7</w:t>
            </w:r>
            <w:r w:rsidR="00737B9A" w:rsidRPr="00903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  <w:p w14:paraId="2BC4209A" w14:textId="1B2984DD" w:rsidR="00737B9A" w:rsidRDefault="00737B9A" w:rsidP="00737B9A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сақтандыру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қызметі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6,8</w:t>
            </w:r>
            <w:r w:rsidRPr="00903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2DAD6EA" w14:textId="434F7217" w:rsidR="00737B9A" w:rsidRDefault="00737B9A" w:rsidP="00737B9A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құрылыс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5,1</w:t>
            </w:r>
            <w:r w:rsidRPr="00903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9D8BE6F" w14:textId="2B0E041B" w:rsidR="00737B9A" w:rsidRPr="0016017F" w:rsidRDefault="00737B9A" w:rsidP="0016017F">
            <w:pPr>
              <w:tabs>
                <w:tab w:val="left" w:pos="191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қоймалау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E601D9F" w14:textId="094726C9" w:rsidR="00737B9A" w:rsidRDefault="0090329F" w:rsidP="009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3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2021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жылмен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салыстырғанда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экономика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секторлары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бөлінісінде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ең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жоғары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өсу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қарқыны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мынадай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салаларға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тиесілі</w:t>
            </w:r>
            <w:proofErr w:type="spellEnd"/>
            <w:r w:rsidR="0073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6824DB92" w14:textId="3AFF0469" w:rsidR="0090329F" w:rsidRDefault="00737B9A" w:rsidP="0090329F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ind w:left="49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өнер</w:t>
            </w:r>
            <w:r w:rsidR="0090329F" w:rsidRPr="009032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ойын-сауық және демалыс</w:t>
            </w:r>
            <w:r w:rsidR="0090329F" w:rsidRPr="0090329F">
              <w:rPr>
                <w:sz w:val="28"/>
                <w:szCs w:val="28"/>
              </w:rPr>
              <w:t xml:space="preserve"> - 78,4%;</w:t>
            </w:r>
          </w:p>
          <w:p w14:paraId="6ACE3500" w14:textId="6F458622" w:rsidR="0090329F" w:rsidRDefault="0090329F" w:rsidP="0090329F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ind w:left="49" w:hanging="49"/>
              <w:jc w:val="both"/>
              <w:rPr>
                <w:sz w:val="28"/>
                <w:szCs w:val="28"/>
              </w:rPr>
            </w:pPr>
            <w:r w:rsidRPr="0090329F">
              <w:rPr>
                <w:sz w:val="28"/>
                <w:szCs w:val="28"/>
              </w:rPr>
              <w:t xml:space="preserve"> </w:t>
            </w:r>
            <w:r w:rsidR="00737B9A">
              <w:rPr>
                <w:sz w:val="28"/>
                <w:szCs w:val="28"/>
                <w:lang w:val="kk-KZ"/>
              </w:rPr>
              <w:t>денсаулық сақтау және әлеуметтік қызметтер</w:t>
            </w:r>
            <w:r w:rsidRPr="0090329F">
              <w:rPr>
                <w:sz w:val="28"/>
                <w:szCs w:val="28"/>
              </w:rPr>
              <w:t xml:space="preserve"> – 45,3%;</w:t>
            </w:r>
          </w:p>
          <w:p w14:paraId="352CB25D" w14:textId="76674027" w:rsidR="0090329F" w:rsidRDefault="00737B9A" w:rsidP="0090329F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ind w:left="49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қаржы және сақтандыру қызметі</w:t>
            </w:r>
            <w:r w:rsidR="0090329F" w:rsidRPr="0090329F">
              <w:rPr>
                <w:sz w:val="28"/>
                <w:szCs w:val="28"/>
              </w:rPr>
              <w:t xml:space="preserve"> – 32,7%;</w:t>
            </w:r>
          </w:p>
          <w:p w14:paraId="2D7F55CF" w14:textId="6F28474C" w:rsidR="0090329F" w:rsidRPr="0090329F" w:rsidRDefault="0090329F" w:rsidP="0090329F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ind w:left="49" w:hanging="49"/>
              <w:jc w:val="both"/>
              <w:rPr>
                <w:sz w:val="28"/>
                <w:szCs w:val="28"/>
              </w:rPr>
            </w:pPr>
            <w:r w:rsidRPr="0090329F">
              <w:rPr>
                <w:sz w:val="28"/>
                <w:szCs w:val="28"/>
              </w:rPr>
              <w:t xml:space="preserve"> </w:t>
            </w:r>
            <w:r w:rsidR="00737B9A">
              <w:rPr>
                <w:sz w:val="28"/>
                <w:szCs w:val="28"/>
                <w:lang w:val="kk-KZ"/>
              </w:rPr>
              <w:t>көтерме бөлшек сауда; автомобильдер мен мотоциклдерді жөндеу</w:t>
            </w:r>
            <w:r w:rsidRPr="0090329F">
              <w:rPr>
                <w:sz w:val="28"/>
                <w:szCs w:val="28"/>
              </w:rPr>
              <w:t xml:space="preserve">- 30,8%; </w:t>
            </w:r>
          </w:p>
          <w:p w14:paraId="3222334A" w14:textId="26F2262D" w:rsidR="00985A19" w:rsidRPr="00985A19" w:rsidRDefault="00737B9A" w:rsidP="0090329F">
            <w:pPr>
              <w:pStyle w:val="a9"/>
              <w:numPr>
                <w:ilvl w:val="0"/>
                <w:numId w:val="5"/>
              </w:numPr>
              <w:tabs>
                <w:tab w:val="left" w:pos="191"/>
              </w:tabs>
              <w:ind w:left="49" w:hanging="4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өңдеу өнеркәсібі</w:t>
            </w:r>
            <w:r w:rsidR="0090329F" w:rsidRPr="0090329F">
              <w:rPr>
                <w:sz w:val="28"/>
                <w:szCs w:val="28"/>
              </w:rPr>
              <w:t xml:space="preserve"> – 25,4%.</w:t>
            </w:r>
          </w:p>
        </w:tc>
      </w:tr>
      <w:tr w:rsidR="00132FA3" w:rsidRPr="00593F4B" w14:paraId="71507A95" w14:textId="77777777" w:rsidTr="00D8433B">
        <w:trPr>
          <w:trHeight w:val="1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77C6FE" w14:textId="4FB2091C" w:rsidR="00CD0229" w:rsidRPr="00D8433B" w:rsidRDefault="00CD0229" w:rsidP="00D8433B">
            <w:pPr>
              <w:tabs>
                <w:tab w:val="left" w:pos="3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8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Қытайдың кедендік статистикасындағы алшақтықты қысқарту</w:t>
            </w:r>
          </w:p>
          <w:p w14:paraId="70A3F136" w14:textId="06236FC7" w:rsidR="00CD0229" w:rsidRPr="00593F4B" w:rsidRDefault="00CD0229" w:rsidP="00CD0229">
            <w:pPr>
              <w:pStyle w:val="a9"/>
              <w:tabs>
                <w:tab w:val="left" w:pos="361"/>
              </w:tabs>
              <w:spacing w:line="276" w:lineRule="auto"/>
              <w:ind w:left="7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69A7E4" w14:textId="33776620" w:rsidR="00132FA3" w:rsidRPr="00CD0229" w:rsidRDefault="00CD0229" w:rsidP="00275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 деректер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5AB8A8" w14:textId="11F24FC0" w:rsidR="00132FA3" w:rsidRPr="00593F4B" w:rsidRDefault="00132FA3" w:rsidP="00275140">
            <w:pPr>
              <w:pStyle w:val="a9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6AF547" w14:textId="1883E0F0" w:rsidR="00132FA3" w:rsidRDefault="00132FA3" w:rsidP="0059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505C03" w14:textId="34714E36" w:rsidR="00132FA3" w:rsidRPr="00593F4B" w:rsidRDefault="00132FA3" w:rsidP="0059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40,5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959965" w14:textId="57EE5E5B" w:rsidR="00CD0229" w:rsidRPr="00CD0229" w:rsidRDefault="00CD0229" w:rsidP="005F3D6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CD0229">
              <w:rPr>
                <w:b/>
                <w:color w:val="000000"/>
                <w:sz w:val="28"/>
                <w:szCs w:val="28"/>
                <w:lang w:val="kk-KZ"/>
              </w:rPr>
              <w:t xml:space="preserve">Қол жеткізілді </w:t>
            </w:r>
          </w:p>
          <w:p w14:paraId="6DC935EB" w14:textId="77777777" w:rsidR="00700991" w:rsidRPr="00700991" w:rsidRDefault="00700991" w:rsidP="0070099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00991">
              <w:rPr>
                <w:color w:val="000000"/>
                <w:sz w:val="28"/>
                <w:szCs w:val="28"/>
                <w:lang w:val="kk-KZ"/>
              </w:rPr>
              <w:t>ҚР мен ҚХР кедендік статистикасы деректеріндегі алшақтықтарды төмендету мақсатында мынадай шаралар қабылданды:</w:t>
            </w:r>
          </w:p>
          <w:p w14:paraId="0611F630" w14:textId="77777777" w:rsidR="00700991" w:rsidRPr="00700991" w:rsidRDefault="00700991" w:rsidP="0070099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1. Қазақстан барлық елдер арасында алғаш рет ҚХР-мен тауарларға арналған экспорттық декларациялардың мәліметтерімен онлайн-режимде алмасуды бастады. Автокөлік құралдарымен тасымалданатын ҚХР экспорты мен Қазақстан Республикасының импортын алдын ала ақпаратпен 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деректерді салыстыру бойынша жұмыс жүргізілуде, сондай-ақ теміржол көлігі бойынша алдын ала ақпараттандырудың техникалық ерекшелігін келісу бойынша жұмыс жүргізілуде. Алдын ала ақпаратпен деректерді салыстыру, олардың нәтижелері бойынша тәуекелдің автоматтандырылған бейіні әзірленеді </w:t>
            </w:r>
            <w:r w:rsidRPr="00700991">
              <w:rPr>
                <w:i/>
                <w:sz w:val="28"/>
                <w:lang w:val="kk-KZ"/>
              </w:rPr>
              <w:t>(тексеріп қарау, құжаттамалық)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>, тәуекелді тауарларға қатысты шекара маңындағы өткізу пункттерінде кедендік бақылаудың нақты күшеюіне алып келді. Сондай-ақ деректерді салыстыру нәтижелері бойынша тауарларды шығарғаннан кейін кедендік тексерулер тағайындалады;</w:t>
            </w:r>
          </w:p>
          <w:p w14:paraId="130D18A6" w14:textId="7A1E51D2" w:rsidR="00700991" w:rsidRPr="00700991" w:rsidRDefault="00700991" w:rsidP="0070099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2. Тәуекелдерді басқару жүйесінде бақылау іс-шараларын тағайындау үшін адами факторды қоспағанда, декларацияланатын тауарлардың құнын бақылау үшін </w:t>
            </w:r>
            <w:r w:rsidRPr="00700991">
              <w:rPr>
                <w:b/>
                <w:color w:val="000000"/>
                <w:sz w:val="28"/>
                <w:szCs w:val="28"/>
                <w:lang w:val="kk-KZ"/>
              </w:rPr>
              <w:t>3 мыңнан астам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 баға индикаторы енгізілді. Тәуекелді тауарлар бойынша ғана емес, бүркемелеу елдері </w:t>
            </w:r>
            <w:r w:rsidRPr="00700991">
              <w:rPr>
                <w:i/>
                <w:color w:val="000000"/>
                <w:sz w:val="28"/>
                <w:szCs w:val="28"/>
                <w:lang w:val="kk-KZ"/>
              </w:rPr>
              <w:t>(Гонконг, Тайланд және т.б.)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 бойынша тәуекелдің құндық индикаторларын тұрақты өзектендіру жүргізілуде; </w:t>
            </w:r>
          </w:p>
          <w:p w14:paraId="17C1196F" w14:textId="444A7964" w:rsidR="00700991" w:rsidRPr="00700991" w:rsidRDefault="00700991" w:rsidP="007009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2019 жылдан бастап Министрліктің Мемлекеттік кірістер комитетінде </w:t>
            </w:r>
            <w:r w:rsidRPr="00700991">
              <w:rPr>
                <w:i/>
                <w:sz w:val="28"/>
                <w:lang w:val="kk-KZ"/>
              </w:rPr>
              <w:t>(бұдан әрі-ҚР ҚМ МКК)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 «Ахуалдық орталық» басқармасы жұмыс істейді, онда инспекциялық-тексеріп қарау кешенінің рентген-суреттеріне талдау және кедендік тексеріп қарауды жүргізу процесіне бейнемониторинг жүргізіледі. Инспекциялық-тексеріп қарау кешенінің рентген-суреттерін талдау шеңберінде 2021 жылы Мемлекеттік кірістер органдары </w:t>
            </w:r>
            <w:r w:rsidRPr="00700991">
              <w:rPr>
                <w:b/>
                <w:color w:val="000000"/>
                <w:sz w:val="28"/>
                <w:szCs w:val="28"/>
                <w:lang w:val="kk-KZ"/>
              </w:rPr>
              <w:t>1 725 кедендік тексеріп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 қарауды тағайындады, оның 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ішінде </w:t>
            </w:r>
            <w:r w:rsidRPr="00700991">
              <w:rPr>
                <w:b/>
                <w:color w:val="000000"/>
                <w:sz w:val="28"/>
                <w:szCs w:val="28"/>
                <w:lang w:val="kk-KZ"/>
              </w:rPr>
              <w:t xml:space="preserve">1 551 тексеріп 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қарау бойынша </w:t>
            </w:r>
            <w:r w:rsidRPr="00700991">
              <w:rPr>
                <w:b/>
                <w:color w:val="000000"/>
                <w:sz w:val="28"/>
                <w:szCs w:val="28"/>
                <w:lang w:val="kk-KZ"/>
              </w:rPr>
              <w:t>3,6 млрд. теңге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 сомасында кедендік төлемдер мен салықтарды </w:t>
            </w:r>
            <w:r w:rsidRPr="00700991">
              <w:rPr>
                <w:i/>
                <w:sz w:val="28"/>
                <w:szCs w:val="28"/>
                <w:lang w:val="kk-KZ"/>
              </w:rPr>
              <w:t>(бұдан әрі – КТС)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 қосымша өндіріп ала отырып, кеден заңнамасының нормаларын бұзушылықтар анықталды, оның ішінде автоматтандырылған басқару жүйесімен тағайындалған кедендік тексеріп қарау бойынша КТС – </w:t>
            </w:r>
            <w:r w:rsidRPr="00700991">
              <w:rPr>
                <w:b/>
                <w:color w:val="000000"/>
                <w:sz w:val="28"/>
                <w:szCs w:val="28"/>
                <w:lang w:val="kk-KZ"/>
              </w:rPr>
              <w:t>2,1 млрд. теңге</w:t>
            </w:r>
            <w:r w:rsidRPr="00700991">
              <w:rPr>
                <w:color w:val="000000"/>
                <w:sz w:val="28"/>
                <w:szCs w:val="28"/>
                <w:lang w:val="kk-KZ"/>
              </w:rPr>
              <w:t xml:space="preserve"> қосымша өндірі</w:t>
            </w:r>
            <w:r>
              <w:rPr>
                <w:color w:val="000000"/>
                <w:sz w:val="28"/>
                <w:szCs w:val="28"/>
                <w:lang w:val="kk-KZ"/>
              </w:rPr>
              <w:t>п алумен бұзушылықтар анықталды.</w:t>
            </w:r>
          </w:p>
          <w:p w14:paraId="56E6DA45" w14:textId="3C335142" w:rsidR="00132FA3" w:rsidRPr="00700991" w:rsidRDefault="00132FA3" w:rsidP="005F3D6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132FA3" w:rsidRPr="00593F4B" w14:paraId="111600D4" w14:textId="77777777" w:rsidTr="00D8433B">
        <w:trPr>
          <w:trHeight w:val="6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33DBF3" w14:textId="199F65F2" w:rsidR="00700991" w:rsidRPr="00593F4B" w:rsidRDefault="00700991" w:rsidP="00D8433B">
            <w:pPr>
              <w:pStyle w:val="a9"/>
              <w:tabs>
                <w:tab w:val="left" w:pos="361"/>
              </w:tabs>
              <w:spacing w:line="276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lastRenderedPageBreak/>
              <w:t>Жеке тұлғалардың табыстары мен шығыстарын жалпыға бірдей декларациялау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89E0C2" w14:textId="3235DC94" w:rsidR="00132FA3" w:rsidRPr="00593F4B" w:rsidRDefault="00700991" w:rsidP="00275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 деректер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802009" w14:textId="016C2215" w:rsidR="00132FA3" w:rsidRPr="00593F4B" w:rsidRDefault="00132FA3" w:rsidP="00275140">
            <w:pPr>
              <w:pStyle w:val="a9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59BD87" w14:textId="1C1E06CE" w:rsidR="00132FA3" w:rsidRDefault="00132FA3" w:rsidP="0059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8D016" w14:textId="79D237F1" w:rsidR="00132FA3" w:rsidRPr="00593F4B" w:rsidRDefault="00132FA3" w:rsidP="0059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A50260" w14:textId="5E5E9229" w:rsidR="00132FA3" w:rsidRPr="00132FA3" w:rsidRDefault="00700991" w:rsidP="0080389C">
            <w:pPr>
              <w:pStyle w:val="a8"/>
              <w:ind w:right="-33"/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  <w:t>Қол жеткізілді</w:t>
            </w:r>
          </w:p>
          <w:p w14:paraId="6D1A2760" w14:textId="473B9032" w:rsidR="00700991" w:rsidRDefault="00700991" w:rsidP="00E6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Жалпыға бірдей декларацияалуды енгізу шеңберінде «Азама</w:t>
            </w:r>
            <w:r w:rsidR="00282A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ттарға арн</w:t>
            </w:r>
            <w:r w:rsidR="002F39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="00282A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лған үкімет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="00282A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мемлекеттік корпорациясының инфрақұрылымы кеңейтілді</w:t>
            </w:r>
            <w:r w:rsidR="002F39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="00282A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Мәселен, салық декларациясын қағаз жеткізгіштер</w:t>
            </w:r>
            <w:r w:rsidR="002F39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</w:t>
            </w:r>
            <w:r w:rsidR="00282A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 ХҚҚО- ға, мемлекеттік кіріс органдарына не пошта бөлімшелері арқылы ұсынуға болады (анықтама ретінде: декларациялар 339 ХҚҚО арқылы, оның ішінде 22 цифрлық қызметтер орталығы және 68 мобильді ХҚҚО қабылданады).  </w:t>
            </w:r>
          </w:p>
          <w:p w14:paraId="7C6117AC" w14:textId="5317B604" w:rsidR="00CE3373" w:rsidRPr="00CE3373" w:rsidRDefault="00CE3373" w:rsidP="00E6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Мемлекеттік корпорацияның фронт-офистері </w:t>
            </w:r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Connection</w:t>
            </w:r>
            <w:proofErr w:type="spellEnd"/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өзіне-өзі қызмет көрсету секторымен (интернетке және «электронды үкімет» веб-порталына кіру мүмкіндігімен жабдықталған).</w:t>
            </w:r>
          </w:p>
          <w:p w14:paraId="1EBA5743" w14:textId="759E8C36" w:rsidR="00CE3373" w:rsidRPr="00A46344" w:rsidRDefault="00CE3373" w:rsidP="00E6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Халыққа ыңғайлы болу үшін салық төлеушінің кабинеті арқылы декларация тапсыру бойынша электрондық сервистер іске асырылды</w:t>
            </w:r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(cabinet.salyk.kz)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«Электронды үкімет»  веб-порталы</w:t>
            </w:r>
            <w:r w:rsidR="00A46344"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(egov.kz)</w:t>
            </w:r>
            <w:r w:rsidR="00A4634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және  </w:t>
            </w:r>
            <w:r w:rsidR="00A46344"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«Е-</w:t>
            </w:r>
            <w:proofErr w:type="spellStart"/>
            <w:r w:rsidR="00A46344"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Salyq</w:t>
            </w:r>
            <w:proofErr w:type="spellEnd"/>
            <w:r w:rsidR="00A46344"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6344"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Azamat</w:t>
            </w:r>
            <w:proofErr w:type="spellEnd"/>
            <w:r w:rsidR="00A46344"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4634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(салық әмияны) мобильді қос</w:t>
            </w:r>
            <w:r w:rsidR="002F39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ым</w:t>
            </w:r>
            <w:r w:rsidR="00A4634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шасы.</w:t>
            </w:r>
          </w:p>
          <w:p w14:paraId="49740510" w14:textId="5E75E189" w:rsidR="00A46344" w:rsidRDefault="00A46344" w:rsidP="00E6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Азаматтар ЭЦҚ алуға айналған онлайн өтінім бере алады, ал «салық төлеушінің кабинетіне» смс-код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арқылы ЭЦҚ-сыз кіруге болады. Қабылданған шаралар жалпыға бірдей декларациялау кезеңінде жеке тұлғалардың салық декларациясын қабылдауды уақтылы ұйымдастыруға мүмкіндік береді. </w:t>
            </w:r>
          </w:p>
          <w:p w14:paraId="56548F49" w14:textId="6C970744" w:rsidR="00A46344" w:rsidRDefault="002F3938" w:rsidP="00E6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Сонымен қатар, М</w:t>
            </w:r>
            <w:r w:rsidR="00A4634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инистрлік кең ауқымды түсіндіру жұмыстарын жүргізуде. </w:t>
            </w:r>
          </w:p>
          <w:p w14:paraId="6952DB9C" w14:textId="6C35550E" w:rsidR="00A46344" w:rsidRDefault="00A46344" w:rsidP="00E6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2021 жылы жалпыға бірдей декларациялаудың бірінші кезеңінің жеке тұлғаның активтері мен міндеттемелері туралы декларацияны (250.00-нысан) ұсыну мерзімі аяқталды. </w:t>
            </w:r>
          </w:p>
          <w:p w14:paraId="31AE7684" w14:textId="77777777" w:rsidR="00A46344" w:rsidRDefault="00A46344" w:rsidP="00E6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2021 жылғы 1 қаңтар мен 2021 жылғы 31 желтоқсан аралығында 11 248 семинар, жұмыс кездесулері мен дөңгелек үстелдер; БАҚ-та 20 281 жарияланым (теледидиар, жүгіртпе жол және т.б); әлеуметтік желілерде, порталдарда, сайттарда 19 994 жарияланым; 25 986 ақпараттық стендтер, билдбордтар орналыстырылды. </w:t>
            </w:r>
          </w:p>
          <w:p w14:paraId="6CC2A7DF" w14:textId="5C11AC57" w:rsidR="00A46344" w:rsidRPr="00A46344" w:rsidRDefault="00A46344" w:rsidP="00E6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Апта сайын онлайн режимде </w:t>
            </w:r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(ZOOM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арқылы</w:t>
            </w:r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орт</w:t>
            </w:r>
            <w:r w:rsidR="002F39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</w:t>
            </w:r>
            <w:r w:rsidR="002F39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 және жергілікті атқарушы органдар үшін жал</w:t>
            </w:r>
            <w:r w:rsidR="002F39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ыға бірдей декларациялау</w:t>
            </w:r>
            <w:r w:rsidR="002F39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мәселелері бойынша түсіндірулер жүргізіледі. </w:t>
            </w:r>
          </w:p>
          <w:p w14:paraId="05E3D95A" w14:textId="387FFF8B" w:rsidR="00132FA3" w:rsidRPr="002F3938" w:rsidRDefault="002F3938" w:rsidP="002F3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66501">
              <w:rPr>
                <w:rFonts w:ascii="Times New Roman" w:eastAsia="Calibri" w:hAnsi="Times New Roman" w:cs="Times New Roman"/>
                <w:sz w:val="28"/>
                <w:szCs w:val="28"/>
              </w:rPr>
              <w:t>(Р=497 283/12 910 728*100=3,8%)</w:t>
            </w:r>
          </w:p>
        </w:tc>
      </w:tr>
      <w:tr w:rsidR="00132FA3" w:rsidRPr="00593F4B" w14:paraId="2E89B57C" w14:textId="77777777" w:rsidTr="00D8433B">
        <w:trPr>
          <w:trHeight w:val="1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8D4312" w14:textId="5C223E89" w:rsidR="002F3938" w:rsidRPr="00A77776" w:rsidRDefault="002F3938" w:rsidP="002F3938">
            <w:pPr>
              <w:pStyle w:val="a9"/>
              <w:tabs>
                <w:tab w:val="left" w:pos="502"/>
              </w:tabs>
              <w:spacing w:line="276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lastRenderedPageBreak/>
              <w:t xml:space="preserve">Автомобиль өткізу пункттерінде көлік </w:t>
            </w:r>
            <w:r w:rsidR="00C51771">
              <w:rPr>
                <w:rFonts w:eastAsia="Calibri"/>
                <w:sz w:val="28"/>
                <w:szCs w:val="28"/>
                <w:lang w:val="kk-KZ"/>
              </w:rPr>
              <w:t>көлік құралдарының өту уақытын қысқарту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52D37E" w14:textId="4BA0B9DA" w:rsidR="00132FA3" w:rsidRPr="00C51771" w:rsidRDefault="00C51771" w:rsidP="00593F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Әкімшілік деректер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886D54" w14:textId="7C98DE53" w:rsidR="00132FA3" w:rsidRPr="00C51771" w:rsidRDefault="00C51771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EDD491" w14:textId="77777777" w:rsidR="00132FA3" w:rsidRDefault="00132FA3" w:rsidP="00A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  <w:p w14:paraId="09D70038" w14:textId="1D46686F" w:rsidR="00132FA3" w:rsidRPr="00593F4B" w:rsidRDefault="00C51771" w:rsidP="00A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сағат</w:t>
            </w:r>
            <w:r w:rsidR="00132F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974679" w14:textId="1066E724" w:rsidR="00132FA3" w:rsidRDefault="00132FA3" w:rsidP="00132FA3">
            <w:pPr>
              <w:tabs>
                <w:tab w:val="left" w:pos="8931"/>
              </w:tabs>
              <w:spacing w:after="0"/>
              <w:jc w:val="center"/>
              <w:rPr>
                <w:rFonts w:ascii="Times New Roman" w:eastAsia="Consolas" w:hAnsi="Times New Roman" w:cs="Times New Roman"/>
                <w:bCs/>
                <w:sz w:val="28"/>
                <w:szCs w:val="28"/>
                <w:lang w:val="ru-RU"/>
              </w:rPr>
            </w:pPr>
            <w:r w:rsidRPr="00132FA3">
              <w:rPr>
                <w:rFonts w:ascii="Times New Roman" w:eastAsia="Consolas" w:hAnsi="Times New Roman" w:cs="Times New Roman"/>
                <w:bCs/>
                <w:sz w:val="28"/>
                <w:szCs w:val="28"/>
              </w:rPr>
              <w:t>1</w:t>
            </w:r>
          </w:p>
          <w:p w14:paraId="18300983" w14:textId="312128D1" w:rsidR="00132FA3" w:rsidRPr="00132FA3" w:rsidRDefault="00C51771" w:rsidP="0013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onsolas" w:hAnsi="Times New Roman" w:cs="Times New Roman"/>
                <w:bCs/>
                <w:sz w:val="28"/>
                <w:szCs w:val="28"/>
                <w:lang w:val="kk-KZ"/>
              </w:rPr>
              <w:t>сағат</w:t>
            </w:r>
            <w:r w:rsidR="00132FA3" w:rsidRPr="00132FA3">
              <w:rPr>
                <w:rFonts w:ascii="Times New Roman" w:eastAsia="Consolas" w:hAnsi="Times New Roman" w:cs="Times New Roman"/>
                <w:bCs/>
                <w:sz w:val="28"/>
                <w:szCs w:val="28"/>
              </w:rPr>
              <w:t>18 мин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673B2F" w14:textId="092BBC6A" w:rsidR="00132FA3" w:rsidRPr="00132FA3" w:rsidRDefault="00C51771" w:rsidP="00132FA3">
            <w:pPr>
              <w:pStyle w:val="a8"/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  <w:t>Қол жеткізілді</w:t>
            </w:r>
            <w:r w:rsidR="00E14887"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  <w:t>.</w:t>
            </w:r>
            <w:r w:rsidR="00132FA3" w:rsidRPr="00132FA3"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  <w:t xml:space="preserve"> </w:t>
            </w:r>
          </w:p>
          <w:p w14:paraId="6DE7E4D4" w14:textId="74428D4D" w:rsidR="00C51771" w:rsidRDefault="00C51771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ҚР-да 10 автомобиль өткізу пункті жұмыс істейді.</w:t>
            </w:r>
          </w:p>
          <w:p w14:paraId="3833BF94" w14:textId="4F61B000" w:rsidR="00C51771" w:rsidRDefault="00C51771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2021 жылы автомобиль өткізу пункттерінде ресімделген:</w:t>
            </w:r>
          </w:p>
          <w:p w14:paraId="34496D4E" w14:textId="6214E8E9" w:rsidR="00C51771" w:rsidRDefault="00C51771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Алматы облысы бойынша МКД – 23 182 </w:t>
            </w:r>
            <w:r w:rsidR="008038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кедендік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="008038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арация. Кедендік  </w:t>
            </w:r>
            <w:r w:rsidR="008038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операцияларды жүргізудің жалпы уақыты 1 768 576 минутты құрайды. Кедендік операцияларды жүргізудің орташа уақыты – 76 минут.  </w:t>
            </w:r>
          </w:p>
          <w:p w14:paraId="57380C1C" w14:textId="069924BE" w:rsidR="0080389C" w:rsidRDefault="009B4FAA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D2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="00803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Анықтама: «Нұр жолы» к/б – 17 681 кедендік декларация, «Алакөл» к/б – </w:t>
            </w:r>
            <w:r w:rsidR="00803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lastRenderedPageBreak/>
              <w:t xml:space="preserve">5 501 кедендік декларация. </w:t>
            </w:r>
          </w:p>
          <w:p w14:paraId="3C233BB4" w14:textId="7270D518" w:rsidR="0080389C" w:rsidRDefault="0080389C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Түркістан облысы бойынша МКД 87 522 кедендік декларация рәсімделді. кедендік операцияларды жүргізудің жалпы уақыты  - 9 114 682 минутты құрайды. Кедендік операцияларды жүргізудің орташа уақыты – 104 минут.</w:t>
            </w:r>
          </w:p>
          <w:p w14:paraId="6DABF799" w14:textId="1772E6C4" w:rsidR="0080389C" w:rsidRDefault="0080389C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Анықтама: «Қазығұрт» к/б 23 750 кедендік декларация; «Қапланбек» к/б  - 23 852 кедендік декларация, «Атамекен» к/б </w:t>
            </w:r>
            <w:r w:rsidR="003602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– 16 991 кедендік декларация, «Б. Қонысбаев» - 22 929 кедендік декларация.</w:t>
            </w:r>
          </w:p>
          <w:p w14:paraId="0BA80897" w14:textId="1744940A" w:rsidR="003602DC" w:rsidRDefault="009B4FAA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25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602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3602DC" w:rsidRPr="003602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ШҚО бойынша</w:t>
            </w:r>
            <w:r w:rsidR="003602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02DC" w:rsidRPr="003602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МКД – 10 581 кедендік декларация рәсімделді Кедендік операцияларды жүргізудің жалпы уақыты 761 216 минутты құрайды. </w:t>
            </w:r>
            <w:r w:rsidR="003602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Кедендік операцияларды жүргізудің орташа уақыты – 72 минут. </w:t>
            </w:r>
          </w:p>
          <w:p w14:paraId="69134A2F" w14:textId="1AABE474" w:rsidR="003602DC" w:rsidRPr="00024F82" w:rsidRDefault="003602DC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24F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Анықтама: «Бақты» к/б</w:t>
            </w:r>
            <w:r w:rsidR="00024F82" w:rsidRPr="00024F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– 10 581 кедендік декларация.</w:t>
            </w:r>
          </w:p>
          <w:p w14:paraId="3CF0051F" w14:textId="2C7E3C5A" w:rsidR="00024F82" w:rsidRPr="00D8433B" w:rsidRDefault="00024F82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Маңғыстау облысы бойынша МКД – 55 380 кедендік декларация рәсімделді. </w:t>
            </w:r>
            <w:r w:rsidRPr="00D843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Кедендік операцияларды жүргізудің жалпы уақыты 3 337 549 минутты құрайды. Кедендік операциял</w:t>
            </w:r>
            <w:r w:rsidR="002F5C6A" w:rsidRPr="00D843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843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рды жүргізудің орташа уақыты – 60 минут. </w:t>
            </w:r>
          </w:p>
          <w:p w14:paraId="2EB9ECC3" w14:textId="77777777" w:rsidR="00024F82" w:rsidRDefault="00024F82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24F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Анықтама: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«Тәжен» к/б – 40 039 кедендік декларация; «Темір-баба» к/б – 4 806 кедендік декларация, «Құрық» к/б – 10 535 кедендік декларация.</w:t>
            </w:r>
          </w:p>
          <w:p w14:paraId="79976775" w14:textId="3E729EE9" w:rsidR="00024F82" w:rsidRPr="00024F82" w:rsidRDefault="00024F82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024F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Өткізу қабілетін. транзиттік әлеуетті ұлғайту және рәсімдерді оңайлату мақсатында кеден б</w:t>
            </w:r>
            <w:r w:rsidR="002F5C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екеттері жаңғыртылуда Өзбекстан</w:t>
            </w:r>
            <w:r w:rsidRPr="00024F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мен шекарадағы «Б. Қоңысбаев» өткізу пунктін қайта құру аяқталды.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CAA3893" w14:textId="5F702B61" w:rsidR="00024F82" w:rsidRDefault="00024F82" w:rsidP="009B4FAA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Нұржолы және Б. Қоңысбаев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өткізу пункттерінде «электронды кезек» жүйесі енгізілді, ол мобильді қосымша арқылы кезекке алдын ала тапсырыс беруге мүмкіндік береді. </w:t>
            </w:r>
          </w:p>
          <w:p w14:paraId="0C081E93" w14:textId="7AD52506" w:rsidR="00132FA3" w:rsidRPr="00024F82" w:rsidRDefault="00024F82" w:rsidP="00024F82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Б. Қоңысбаев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кеден бекеті 3 инспекциялық-тексеру кешенімен (ИТК) жабдықталған. </w:t>
            </w:r>
          </w:p>
        </w:tc>
      </w:tr>
      <w:tr w:rsidR="00132FA3" w:rsidRPr="00593F4B" w14:paraId="521175C6" w14:textId="77777777" w:rsidTr="00D8433B">
        <w:trPr>
          <w:trHeight w:val="1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9D037C" w14:textId="55387DED" w:rsidR="0089637E" w:rsidRPr="00A77776" w:rsidRDefault="0089637E" w:rsidP="00D8433B">
            <w:pPr>
              <w:pStyle w:val="a9"/>
              <w:tabs>
                <w:tab w:val="left" w:pos="502"/>
              </w:tabs>
              <w:spacing w:line="276" w:lineRule="auto"/>
              <w:ind w:left="77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lastRenderedPageBreak/>
              <w:t>Банкроттық процедураларды өткізу мерзімін қысқарту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9B6477" w14:textId="3DD4D5EB" w:rsidR="00132FA3" w:rsidRPr="00593F4B" w:rsidRDefault="0089637E" w:rsidP="00593F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Әкімшілік деректер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6A20D0" w14:textId="36F18D57" w:rsidR="00132FA3" w:rsidRPr="0089637E" w:rsidRDefault="0089637E" w:rsidP="0059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79C7DE" w14:textId="070F1D09" w:rsidR="00132FA3" w:rsidRDefault="00132FA3" w:rsidP="00A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576AC" w14:textId="480D8A11" w:rsidR="00132FA3" w:rsidRPr="00E20BB1" w:rsidRDefault="00132FA3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15,8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D01E4D" w14:textId="441C22A8" w:rsidR="00132FA3" w:rsidRPr="00112002" w:rsidRDefault="0089637E" w:rsidP="0080389C">
            <w:pPr>
              <w:pStyle w:val="a8"/>
              <w:ind w:right="-33"/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  <w:t>Қол жеткізілді</w:t>
            </w:r>
            <w:r w:rsidR="00E14887" w:rsidRPr="00112002">
              <w:rPr>
                <w:rFonts w:eastAsia="Calibri"/>
                <w:b/>
                <w:color w:val="auto"/>
                <w:sz w:val="28"/>
                <w:szCs w:val="28"/>
                <w:lang w:val="kk-KZ" w:eastAsia="en-US"/>
              </w:rPr>
              <w:t>.</w:t>
            </w:r>
          </w:p>
          <w:p w14:paraId="3153F816" w14:textId="63D4BDDE" w:rsidR="00E14887" w:rsidRPr="00515B4F" w:rsidRDefault="007E5C2D" w:rsidP="00E148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9637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МКК тарапынан келесі шаралар қабылданды</w:t>
            </w:r>
            <w:r w:rsidR="00E14887" w:rsidRPr="00515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14:paraId="7384D44C" w14:textId="4FA23B96" w:rsidR="007E5C2D" w:rsidRPr="00515B4F" w:rsidRDefault="007E5C2D" w:rsidP="007E5C2D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 аяқталған сот талқылаулары бар борышкерлерді қоспағанда, мүлкі жоқ борышкерлерге қатысты банкроттық рәсімдері аяқталды;</w:t>
            </w:r>
          </w:p>
          <w:p w14:paraId="1DD4BCBE" w14:textId="65A5AFE8" w:rsidR="007E5C2D" w:rsidRPr="00515B4F" w:rsidRDefault="007E5C2D" w:rsidP="007E5C2D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банкроттық рәсімін жүргізу мерзімі 2 жылдан асатын 105 борышкер бойынша қорытынды есептер қаралып, келісілді;</w:t>
            </w:r>
          </w:p>
          <w:p w14:paraId="250233C4" w14:textId="7821EF52" w:rsidR="007E5C2D" w:rsidRPr="00515B4F" w:rsidRDefault="002F5C6A" w:rsidP="007E5C2D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 МКБ (мемлекеттік кірістер басқарамасы) негізгі не жал</w:t>
            </w:r>
            <w:r w:rsidR="007E5C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ғыз кредиторлар болып табылатын, мүлкі және әдейі банкроттық белгілері жоқ борышкерлердің банкроттық рәсімдері аяқталды; </w:t>
            </w:r>
          </w:p>
          <w:p w14:paraId="056BD484" w14:textId="15AE53A5" w:rsidR="007E5C2D" w:rsidRPr="00515B4F" w:rsidRDefault="007E5C2D" w:rsidP="007E5C2D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 ҚҚС бойынша тіркеу есебі жүргізілді, сондай-ақ мүлікті сату жоспарларын бекіту және 2021 жылғы 4 тоқсанда (2021 жылғы 10 қараша, 25 қараша, 7 желтоқсан) сатуды жандандыру;</w:t>
            </w:r>
          </w:p>
          <w:p w14:paraId="5BCBA4FA" w14:textId="48E71785" w:rsidR="007E5C2D" w:rsidRPr="00515B4F" w:rsidRDefault="007E5C2D" w:rsidP="007E5C2D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2018 жылдан бастап соттардың шешімдеріне толық түгендеу жүргізілді</w:t>
            </w:r>
            <w:r w:rsidR="00E66A8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олар бойынша МКБ банкроттың лауазымды тұлғаларын суб</w:t>
            </w:r>
            <w:r w:rsidR="002F5C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  <w:r w:rsidR="00E66A8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идиарлық жауапкершілікке тарту туралы атқару парақтары бойынша құқық мирасқорлары болды.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3AA1B76" w14:textId="0A7B318B" w:rsidR="00E66A8D" w:rsidRDefault="00E66A8D" w:rsidP="00E14887">
            <w:p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Бұдан басқа, борышкерлердің әдейі банкроттығының , сондай-ақ төлем қабілетсіздігіне әкеп соққан заңсыз әрекеттердің жолын кесу мақсатында Қазақстан Республикасы Қаржы мониторингі агенттігінің өкілдерімен, Экономика</w:t>
            </w:r>
            <w:r w:rsidR="002F5C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лық тергеу департаменттері мен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емлекеттік кірістер департаменттерінің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қызметкерлерімен кездесулер өткізілді. </w:t>
            </w:r>
          </w:p>
          <w:p w14:paraId="04AF971E" w14:textId="02A4E099" w:rsidR="00E66A8D" w:rsidRPr="00E66A8D" w:rsidRDefault="002F5C6A" w:rsidP="00E14887">
            <w:pPr>
              <w:tabs>
                <w:tab w:val="left" w:pos="36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Кеңес қорыты</w:t>
            </w:r>
            <w:r w:rsidR="00E66A8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</w:t>
            </w:r>
            <w:r w:rsidR="00E66A8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ысы бойынша жоғарыда аталған тәртіпке қаржы-шаруашылық қызметіне талдау жүргізу мерзімін қысқарту 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r w:rsidR="00E66A8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әдейі банкроттық белгілерінің болуы туралы бір жыдлан бес айға дейін қорытынды жасау бөлігінде өзгерістер енгізілді, зала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</w:t>
            </w:r>
            <w:r w:rsidR="00E66A8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сомасын айқындауға бірыңғай тәсілдер әзірленді, мүлікті шығарудың негізігі белгілері айқындалды. </w:t>
            </w:r>
          </w:p>
          <w:p w14:paraId="66D69B52" w14:textId="48775B10" w:rsidR="00BC7F3D" w:rsidRPr="00E66A8D" w:rsidRDefault="00BC7F3D" w:rsidP="00BC7F3D">
            <w:pPr>
              <w:pStyle w:val="a9"/>
              <w:tabs>
                <w:tab w:val="left" w:pos="360"/>
                <w:tab w:val="left" w:pos="1134"/>
              </w:tabs>
              <w:ind w:left="0" w:firstLine="49"/>
              <w:jc w:val="both"/>
              <w:rPr>
                <w:sz w:val="24"/>
                <w:lang w:val="kk-KZ"/>
              </w:rPr>
            </w:pPr>
          </w:p>
        </w:tc>
      </w:tr>
    </w:tbl>
    <w:p w14:paraId="7449CA18" w14:textId="77777777" w:rsidR="00877687" w:rsidRPr="00EC49E7" w:rsidRDefault="00877687" w:rsidP="00E14887">
      <w:pPr>
        <w:shd w:val="clear" w:color="auto" w:fill="FFFFFF"/>
        <w:spacing w:before="225" w:after="135" w:line="390" w:lineRule="atLeast"/>
        <w:textAlignment w:val="baseline"/>
        <w:outlineLvl w:val="2"/>
        <w:rPr>
          <w:lang w:val="kk-KZ"/>
        </w:rPr>
      </w:pPr>
    </w:p>
    <w:p w14:paraId="4DDAF839" w14:textId="77777777" w:rsidR="00877687" w:rsidRPr="00EC49E7" w:rsidRDefault="00877687" w:rsidP="00E14887">
      <w:pPr>
        <w:shd w:val="clear" w:color="auto" w:fill="FFFFFF"/>
        <w:spacing w:before="225" w:after="135" w:line="390" w:lineRule="atLeast"/>
        <w:textAlignment w:val="baseline"/>
        <w:outlineLvl w:val="2"/>
        <w:rPr>
          <w:lang w:val="kk-KZ"/>
        </w:rPr>
      </w:pPr>
    </w:p>
    <w:sectPr w:rsidR="00877687" w:rsidRPr="00EC49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857B" w14:textId="77777777" w:rsidR="00CD3F47" w:rsidRDefault="00CD3F47" w:rsidP="00774061">
      <w:pPr>
        <w:spacing w:after="0" w:line="240" w:lineRule="auto"/>
      </w:pPr>
      <w:r>
        <w:separator/>
      </w:r>
    </w:p>
  </w:endnote>
  <w:endnote w:type="continuationSeparator" w:id="0">
    <w:p w14:paraId="356D2257" w14:textId="77777777" w:rsidR="00CD3F47" w:rsidRDefault="00CD3F47" w:rsidP="007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2626" w14:textId="5C3217BC" w:rsidR="0080389C" w:rsidRDefault="0080389C">
    <w:pPr>
      <w:pStyle w:val="af0"/>
      <w:jc w:val="right"/>
    </w:pPr>
  </w:p>
  <w:p w14:paraId="5644CB5F" w14:textId="77777777" w:rsidR="0080389C" w:rsidRDefault="00803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B8E2" w14:textId="77777777" w:rsidR="00CD3F47" w:rsidRDefault="00CD3F47" w:rsidP="00774061">
      <w:pPr>
        <w:spacing w:after="0" w:line="240" w:lineRule="auto"/>
      </w:pPr>
      <w:r>
        <w:separator/>
      </w:r>
    </w:p>
  </w:footnote>
  <w:footnote w:type="continuationSeparator" w:id="0">
    <w:p w14:paraId="0E653F74" w14:textId="77777777" w:rsidR="00CD3F47" w:rsidRDefault="00CD3F47" w:rsidP="0077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D61"/>
    <w:multiLevelType w:val="hybridMultilevel"/>
    <w:tmpl w:val="B4C09DD8"/>
    <w:lvl w:ilvl="0" w:tplc="124E9C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51D48"/>
    <w:multiLevelType w:val="multilevel"/>
    <w:tmpl w:val="2EB896D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665B53"/>
    <w:multiLevelType w:val="hybridMultilevel"/>
    <w:tmpl w:val="CFA0A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F77"/>
    <w:multiLevelType w:val="hybridMultilevel"/>
    <w:tmpl w:val="916699D4"/>
    <w:lvl w:ilvl="0" w:tplc="03CAA09C"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8B2ACA"/>
    <w:multiLevelType w:val="hybridMultilevel"/>
    <w:tmpl w:val="0F00C0CC"/>
    <w:lvl w:ilvl="0" w:tplc="B73C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B2A"/>
    <w:multiLevelType w:val="hybridMultilevel"/>
    <w:tmpl w:val="C5549976"/>
    <w:lvl w:ilvl="0" w:tplc="03CAA09C"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9144DD1"/>
    <w:multiLevelType w:val="hybridMultilevel"/>
    <w:tmpl w:val="29145F00"/>
    <w:lvl w:ilvl="0" w:tplc="03CAA09C"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BD1479E"/>
    <w:multiLevelType w:val="hybridMultilevel"/>
    <w:tmpl w:val="70F8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6395E"/>
    <w:multiLevelType w:val="hybridMultilevel"/>
    <w:tmpl w:val="1362FF20"/>
    <w:lvl w:ilvl="0" w:tplc="03CAA09C">
      <w:numFmt w:val="bullet"/>
      <w:lvlText w:val="-"/>
      <w:lvlJc w:val="left"/>
      <w:pPr>
        <w:ind w:left="840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07534F6"/>
    <w:multiLevelType w:val="hybridMultilevel"/>
    <w:tmpl w:val="78643418"/>
    <w:lvl w:ilvl="0" w:tplc="B2F289F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1690B40"/>
    <w:multiLevelType w:val="hybridMultilevel"/>
    <w:tmpl w:val="ED56A1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527B8"/>
    <w:multiLevelType w:val="hybridMultilevel"/>
    <w:tmpl w:val="09AA0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20"/>
    <w:rsid w:val="0000284E"/>
    <w:rsid w:val="00023062"/>
    <w:rsid w:val="00024F82"/>
    <w:rsid w:val="00053D33"/>
    <w:rsid w:val="00064E14"/>
    <w:rsid w:val="00074A97"/>
    <w:rsid w:val="00093929"/>
    <w:rsid w:val="000A1B77"/>
    <w:rsid w:val="000E1A20"/>
    <w:rsid w:val="00112002"/>
    <w:rsid w:val="00132FA3"/>
    <w:rsid w:val="0013514F"/>
    <w:rsid w:val="00157087"/>
    <w:rsid w:val="00157B36"/>
    <w:rsid w:val="0016017F"/>
    <w:rsid w:val="0016706E"/>
    <w:rsid w:val="00172660"/>
    <w:rsid w:val="001C789D"/>
    <w:rsid w:val="002036B9"/>
    <w:rsid w:val="002047F1"/>
    <w:rsid w:val="0021216C"/>
    <w:rsid w:val="00223350"/>
    <w:rsid w:val="00232921"/>
    <w:rsid w:val="00267497"/>
    <w:rsid w:val="00267B2A"/>
    <w:rsid w:val="00275140"/>
    <w:rsid w:val="00282ADA"/>
    <w:rsid w:val="002A266E"/>
    <w:rsid w:val="002A34EE"/>
    <w:rsid w:val="002A3F39"/>
    <w:rsid w:val="002C73C2"/>
    <w:rsid w:val="002F3938"/>
    <w:rsid w:val="002F5C6A"/>
    <w:rsid w:val="003602DC"/>
    <w:rsid w:val="003B1585"/>
    <w:rsid w:val="003D3EF3"/>
    <w:rsid w:val="004362B6"/>
    <w:rsid w:val="00441622"/>
    <w:rsid w:val="0044391B"/>
    <w:rsid w:val="00452BAA"/>
    <w:rsid w:val="00455493"/>
    <w:rsid w:val="00472188"/>
    <w:rsid w:val="004727F7"/>
    <w:rsid w:val="00473930"/>
    <w:rsid w:val="004C5FEC"/>
    <w:rsid w:val="004E6A33"/>
    <w:rsid w:val="00505167"/>
    <w:rsid w:val="00510681"/>
    <w:rsid w:val="00564028"/>
    <w:rsid w:val="00593F4B"/>
    <w:rsid w:val="005B4DAB"/>
    <w:rsid w:val="005F3D66"/>
    <w:rsid w:val="005F6A59"/>
    <w:rsid w:val="006159C2"/>
    <w:rsid w:val="006225EC"/>
    <w:rsid w:val="00644E75"/>
    <w:rsid w:val="0064607E"/>
    <w:rsid w:val="00661FC3"/>
    <w:rsid w:val="00673882"/>
    <w:rsid w:val="0067625E"/>
    <w:rsid w:val="00680C34"/>
    <w:rsid w:val="00690D71"/>
    <w:rsid w:val="006C658E"/>
    <w:rsid w:val="006D0AA2"/>
    <w:rsid w:val="006D17E3"/>
    <w:rsid w:val="006D6EF8"/>
    <w:rsid w:val="00700991"/>
    <w:rsid w:val="00713D2D"/>
    <w:rsid w:val="00737B9A"/>
    <w:rsid w:val="0074039D"/>
    <w:rsid w:val="00760F1D"/>
    <w:rsid w:val="00774061"/>
    <w:rsid w:val="007950B2"/>
    <w:rsid w:val="007B6D4D"/>
    <w:rsid w:val="007E5C2D"/>
    <w:rsid w:val="007F2E14"/>
    <w:rsid w:val="0080389C"/>
    <w:rsid w:val="00816B26"/>
    <w:rsid w:val="00823668"/>
    <w:rsid w:val="00846ADE"/>
    <w:rsid w:val="00850D74"/>
    <w:rsid w:val="0085158B"/>
    <w:rsid w:val="00877687"/>
    <w:rsid w:val="0088181E"/>
    <w:rsid w:val="00882369"/>
    <w:rsid w:val="008830A6"/>
    <w:rsid w:val="008876AF"/>
    <w:rsid w:val="00894756"/>
    <w:rsid w:val="0089637E"/>
    <w:rsid w:val="008A07FF"/>
    <w:rsid w:val="008C6A77"/>
    <w:rsid w:val="008F1B36"/>
    <w:rsid w:val="00900059"/>
    <w:rsid w:val="0090329F"/>
    <w:rsid w:val="00907C05"/>
    <w:rsid w:val="00926D2B"/>
    <w:rsid w:val="0093105B"/>
    <w:rsid w:val="00931AEA"/>
    <w:rsid w:val="00932CAC"/>
    <w:rsid w:val="009507B5"/>
    <w:rsid w:val="00974280"/>
    <w:rsid w:val="009749ED"/>
    <w:rsid w:val="00985A19"/>
    <w:rsid w:val="009B4FAA"/>
    <w:rsid w:val="009F02CC"/>
    <w:rsid w:val="009F35E5"/>
    <w:rsid w:val="009F48BD"/>
    <w:rsid w:val="00A0197F"/>
    <w:rsid w:val="00A46344"/>
    <w:rsid w:val="00A62CE7"/>
    <w:rsid w:val="00A77776"/>
    <w:rsid w:val="00A85C7A"/>
    <w:rsid w:val="00A90F75"/>
    <w:rsid w:val="00AA14AF"/>
    <w:rsid w:val="00AB2859"/>
    <w:rsid w:val="00AB70AC"/>
    <w:rsid w:val="00AB7BCE"/>
    <w:rsid w:val="00AD5D74"/>
    <w:rsid w:val="00AD6E9F"/>
    <w:rsid w:val="00AF4179"/>
    <w:rsid w:val="00B27D97"/>
    <w:rsid w:val="00B3690D"/>
    <w:rsid w:val="00B37D2E"/>
    <w:rsid w:val="00B665C1"/>
    <w:rsid w:val="00B746B6"/>
    <w:rsid w:val="00B967EA"/>
    <w:rsid w:val="00BC7F3D"/>
    <w:rsid w:val="00BD2D42"/>
    <w:rsid w:val="00BF2391"/>
    <w:rsid w:val="00C3500F"/>
    <w:rsid w:val="00C35EF1"/>
    <w:rsid w:val="00C51771"/>
    <w:rsid w:val="00C83B1E"/>
    <w:rsid w:val="00C96D03"/>
    <w:rsid w:val="00CC51FB"/>
    <w:rsid w:val="00CD0229"/>
    <w:rsid w:val="00CD3F47"/>
    <w:rsid w:val="00CE3373"/>
    <w:rsid w:val="00D005B5"/>
    <w:rsid w:val="00D01087"/>
    <w:rsid w:val="00D10B80"/>
    <w:rsid w:val="00D43143"/>
    <w:rsid w:val="00D65811"/>
    <w:rsid w:val="00D82079"/>
    <w:rsid w:val="00D8433B"/>
    <w:rsid w:val="00D92532"/>
    <w:rsid w:val="00D9510C"/>
    <w:rsid w:val="00DC3678"/>
    <w:rsid w:val="00DD66DF"/>
    <w:rsid w:val="00E0614B"/>
    <w:rsid w:val="00E06D92"/>
    <w:rsid w:val="00E14887"/>
    <w:rsid w:val="00E20BB1"/>
    <w:rsid w:val="00E66501"/>
    <w:rsid w:val="00E66A8D"/>
    <w:rsid w:val="00E66B80"/>
    <w:rsid w:val="00EA4805"/>
    <w:rsid w:val="00EC49E7"/>
    <w:rsid w:val="00ED30C5"/>
    <w:rsid w:val="00EE097B"/>
    <w:rsid w:val="00EF38E7"/>
    <w:rsid w:val="00F00C33"/>
    <w:rsid w:val="00F01C08"/>
    <w:rsid w:val="00F063B9"/>
    <w:rsid w:val="00F074BC"/>
    <w:rsid w:val="00F42A8F"/>
    <w:rsid w:val="00F54A1D"/>
    <w:rsid w:val="00F731F0"/>
    <w:rsid w:val="00FB1E60"/>
    <w:rsid w:val="00FC2EA7"/>
    <w:rsid w:val="00FD6ECF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591E"/>
  <w15:docId w15:val="{DF8EB5EF-EAEC-44FE-8E50-9B158BE8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1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1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1A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1,Обычный (веб) Знак Знак Знак,Обычный (веб) Знак1 Знак Знак Знак,Обычный (веб) Знак,Обычный (веб) Знак1 Знак,Обычный (веб) Знак Знак Знак Знак Знак,Обычный (веб) Знак Знак Знак Знак Знак  Знак,З"/>
    <w:basedOn w:val="a"/>
    <w:link w:val="a4"/>
    <w:uiPriority w:val="99"/>
    <w:unhideWhenUsed/>
    <w:qFormat/>
    <w:rsid w:val="000E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Medium Grid 2 Знак,Обя Знак,мелкий Знак,норма Знак,No Spacing1 Знак,мой рабочий Знак,Дастан1 Знак,Средняя сетка 21 Знак,свой Знак,14 TNR Знак,Без интервала11 Знак,МОЙ СТИЛЬ Знак,Елжан Знак,Без интеБез интервала Знак,Без интерваль Знак"/>
    <w:link w:val="a6"/>
    <w:uiPriority w:val="1"/>
    <w:qFormat/>
    <w:locked/>
    <w:rsid w:val="000E1A20"/>
    <w:rPr>
      <w:rFonts w:ascii="Calibri" w:eastAsia="Times New Roman" w:hAnsi="Calibri" w:cs="Times New Roman"/>
    </w:rPr>
  </w:style>
  <w:style w:type="paragraph" w:styleId="a6">
    <w:name w:val="No Spacing"/>
    <w:aliases w:val="Medium Grid 2,Обя,мелкий,норма,No Spacing1,мой рабочий,Дастан1,Средняя сетка 21,свой,14 TNR,Без интервала11,МОЙ СТИЛЬ,Елжан,Без интеБез интервала,Без интервала111,Без интервала21,Без интерваль,No Spacing12,Алия,Айгерим"/>
    <w:link w:val="a5"/>
    <w:uiPriority w:val="1"/>
    <w:qFormat/>
    <w:rsid w:val="000E1A2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0E1A20"/>
    <w:rPr>
      <w:color w:val="0000FF"/>
      <w:u w:val="single"/>
    </w:rPr>
  </w:style>
  <w:style w:type="paragraph" w:customStyle="1" w:styleId="a8">
    <w:name w:val="Без интервала Знак Знак Знак Знак Знак Знак Знак"/>
    <w:qFormat/>
    <w:rsid w:val="000E1A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Обычный (веб) Знак1 Знак1,Обычный (веб) Знак Знак Знак Знак,Обычный (веб) Знак1 Знак Знак Знак Знак,Обычный (веб) Знак Знак,Обычный (веб) Знак1 Знак Знак,Обычный (веб) Знак Знак Знак Знак Знак Знак,З Знак"/>
    <w:link w:val="a3"/>
    <w:uiPriority w:val="99"/>
    <w:qFormat/>
    <w:rsid w:val="000E1A2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IBL List Paragraph,Bullet1,маркированный,Абзац списка1,ненум_список,References,NUMBERED PARAGRAPH,List Paragraph 1,Bullets,List_Paragraph,Multilevel para_II,Akapit z listą BS,List Paragraph (numbered (a)),Heading1,Bullet List,FooterText"/>
    <w:basedOn w:val="a"/>
    <w:link w:val="aa"/>
    <w:uiPriority w:val="34"/>
    <w:qFormat/>
    <w:rsid w:val="000E1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Абзац списка Знак"/>
    <w:aliases w:val="IBL List Paragraph Знак,Bullet1 Знак,маркированный Знак,Абзац списка1 Знак,ненум_список Знак,References Знак,NUMBERED PARAGRAPH Знак,List Paragraph 1 Знак,Bullets Знак,List_Paragraph Знак,Multilevel para_II Знак,Akapit z listą BS Знак"/>
    <w:link w:val="a9"/>
    <w:uiPriority w:val="34"/>
    <w:qFormat/>
    <w:locked/>
    <w:rsid w:val="000E1A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link w:val="Default0"/>
    <w:qFormat/>
    <w:rsid w:val="000E1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Default0">
    <w:name w:val="Default Знак"/>
    <w:link w:val="Default"/>
    <w:locked/>
    <w:rsid w:val="000E1A20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b">
    <w:name w:val="Strong"/>
    <w:basedOn w:val="a0"/>
    <w:uiPriority w:val="22"/>
    <w:qFormat/>
    <w:rsid w:val="000E1A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4DA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74061"/>
  </w:style>
  <w:style w:type="paragraph" w:styleId="af0">
    <w:name w:val="footer"/>
    <w:basedOn w:val="a"/>
    <w:link w:val="af1"/>
    <w:uiPriority w:val="99"/>
    <w:unhideWhenUsed/>
    <w:rsid w:val="007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4061"/>
  </w:style>
  <w:style w:type="character" w:styleId="af2">
    <w:name w:val="Emphasis"/>
    <w:basedOn w:val="a0"/>
    <w:uiPriority w:val="20"/>
    <w:qFormat/>
    <w:rsid w:val="0095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Ташен Жанат Орынтайұлы</cp:lastModifiedBy>
  <cp:revision>3</cp:revision>
  <cp:lastPrinted>2022-02-07T08:48:00Z</cp:lastPrinted>
  <dcterms:created xsi:type="dcterms:W3CDTF">2022-02-22T06:38:00Z</dcterms:created>
  <dcterms:modified xsi:type="dcterms:W3CDTF">2022-03-28T03:30:00Z</dcterms:modified>
</cp:coreProperties>
</file>