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F1" w:rsidRDefault="009A71F1" w:rsidP="009A71F1">
      <w:pPr>
        <w:spacing w:after="0" w:line="240" w:lineRule="auto"/>
        <w:ind w:left="5954"/>
        <w:rPr>
          <w:rFonts w:ascii="Times New Roman" w:hAnsi="Times New Roman"/>
          <w:b/>
          <w:sz w:val="28"/>
          <w:szCs w:val="28"/>
          <w:lang w:val="kk-KZ"/>
        </w:rPr>
      </w:pPr>
    </w:p>
    <w:p w:rsidR="009A71F1" w:rsidRDefault="009A71F1" w:rsidP="009A71F1">
      <w:pPr>
        <w:spacing w:after="0" w:line="240" w:lineRule="auto"/>
        <w:ind w:left="5954"/>
        <w:rPr>
          <w:rFonts w:ascii="Times New Roman" w:hAnsi="Times New Roman"/>
          <w:b/>
          <w:sz w:val="28"/>
          <w:szCs w:val="28"/>
          <w:lang w:val="kk-KZ"/>
        </w:rPr>
      </w:pPr>
    </w:p>
    <w:p w:rsidR="009A71F1" w:rsidRDefault="009A71F1" w:rsidP="009A71F1">
      <w:pPr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ДГД по областям </w:t>
      </w:r>
    </w:p>
    <w:p w:rsidR="009A71F1" w:rsidRPr="00372B0F" w:rsidRDefault="009A71F1" w:rsidP="009A71F1">
      <w:pPr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  <w:r w:rsidRPr="00372B0F">
        <w:rPr>
          <w:rFonts w:ascii="Times New Roman" w:hAnsi="Times New Roman"/>
          <w:b/>
          <w:sz w:val="28"/>
          <w:szCs w:val="28"/>
        </w:rPr>
        <w:t>городам Астана и Алматы</w:t>
      </w:r>
    </w:p>
    <w:p w:rsidR="009A71F1" w:rsidRDefault="009A71F1" w:rsidP="009A71F1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9A71F1" w:rsidRDefault="009A71F1" w:rsidP="009A71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1F1" w:rsidRDefault="009A71F1" w:rsidP="009A71F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некоторых вопросах завершения</w:t>
      </w:r>
    </w:p>
    <w:p w:rsidR="009A71F1" w:rsidRDefault="009A71F1" w:rsidP="009A71F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таможенной процедуры СТЗ и СС</w:t>
      </w:r>
    </w:p>
    <w:p w:rsidR="009A71F1" w:rsidRPr="008E6C61" w:rsidRDefault="009A71F1" w:rsidP="009A71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71F1" w:rsidRDefault="009A71F1" w:rsidP="009A7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государственных доходов Министерства финансов Республики Казахстан (далее - Комитет), на поступающие обращения от Департаментов государственных доходов по областям, городам Астана и Алматы, в части завершения таможенных процедур </w:t>
      </w:r>
      <w:r w:rsidRPr="00383123">
        <w:rPr>
          <w:rFonts w:ascii="Times New Roman" w:hAnsi="Times New Roman"/>
          <w:bCs/>
          <w:sz w:val="28"/>
          <w:szCs w:val="28"/>
        </w:rPr>
        <w:t>свободной таможенной зоны и свободного склада</w:t>
      </w:r>
      <w:r>
        <w:rPr>
          <w:rFonts w:ascii="Times New Roman" w:hAnsi="Times New Roman"/>
          <w:sz w:val="28"/>
          <w:szCs w:val="28"/>
        </w:rPr>
        <w:t xml:space="preserve"> (далее-СТЗ и СС), после 1 января 2017 года сообщает следующее. </w:t>
      </w:r>
    </w:p>
    <w:p w:rsidR="009A71F1" w:rsidRPr="00721319" w:rsidRDefault="009A71F1" w:rsidP="009A71F1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8E6C6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Правовое регулирование отношений, связанных с применением </w:t>
      </w:r>
      <w:r w:rsidRPr="007213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таможенн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ой</w:t>
      </w:r>
      <w:r w:rsidRPr="007213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процедур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ы</w:t>
      </w:r>
      <w:r w:rsidRPr="007213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СТЗ, определено положениями Соглашением </w:t>
      </w:r>
      <w:proofErr w:type="gramStart"/>
      <w:r w:rsidRPr="007213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proofErr w:type="gramEnd"/>
      <w:r w:rsidRPr="007213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7213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по</w:t>
      </w:r>
      <w:proofErr w:type="gramEnd"/>
      <w:r w:rsidRPr="007213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</w:t>
      </w:r>
      <w:r w:rsidRPr="007213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- Соглашение). </w:t>
      </w:r>
    </w:p>
    <w:p w:rsidR="009A71F1" w:rsidRDefault="009A71F1" w:rsidP="009A71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1319">
        <w:rPr>
          <w:sz w:val="28"/>
          <w:szCs w:val="28"/>
        </w:rPr>
        <w:t xml:space="preserve">Так, </w:t>
      </w:r>
      <w:proofErr w:type="gramStart"/>
      <w:r w:rsidRPr="00721319">
        <w:rPr>
          <w:sz w:val="28"/>
          <w:szCs w:val="28"/>
        </w:rPr>
        <w:t>согласно статьи</w:t>
      </w:r>
      <w:proofErr w:type="gramEnd"/>
      <w:r w:rsidRPr="00721319">
        <w:rPr>
          <w:sz w:val="28"/>
          <w:szCs w:val="28"/>
        </w:rPr>
        <w:t xml:space="preserve"> 10 Соглашения, </w:t>
      </w:r>
      <w:r>
        <w:rPr>
          <w:sz w:val="28"/>
          <w:szCs w:val="28"/>
        </w:rPr>
        <w:t>о</w:t>
      </w:r>
      <w:r w:rsidRPr="00721319">
        <w:rPr>
          <w:sz w:val="28"/>
          <w:szCs w:val="28"/>
        </w:rPr>
        <w:t xml:space="preserve">пределение статуса товаров, изготовленных (полученных) с использованием иностранных товаров, помещенных под таможенную процедуру </w:t>
      </w:r>
      <w:r>
        <w:rPr>
          <w:sz w:val="28"/>
          <w:szCs w:val="28"/>
        </w:rPr>
        <w:t xml:space="preserve">СТЗ </w:t>
      </w:r>
      <w:r w:rsidRPr="00721319">
        <w:rPr>
          <w:sz w:val="28"/>
          <w:szCs w:val="28"/>
        </w:rPr>
        <w:t>резидентами, зарегистрированными в Республике Казахстан до 1 января 2012 года, осуществляется в соответствии со статьей 19 Соглашения до 1 января 2017 года</w:t>
      </w:r>
      <w:r>
        <w:rPr>
          <w:sz w:val="28"/>
          <w:szCs w:val="28"/>
        </w:rPr>
        <w:t xml:space="preserve">. </w:t>
      </w:r>
      <w:r w:rsidRPr="00721319">
        <w:rPr>
          <w:sz w:val="28"/>
          <w:szCs w:val="28"/>
        </w:rPr>
        <w:t xml:space="preserve"> </w:t>
      </w:r>
    </w:p>
    <w:p w:rsidR="009A71F1" w:rsidRDefault="009A71F1" w:rsidP="009A71F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следует понимать, что для резидентов СЭЗ включенных в реестр до 1 января 2012 года, после 1 января 2017 года критерии достаточной переработки товаров указанных в статье 19 Соглашения не применяются. </w:t>
      </w:r>
      <w:r w:rsidRPr="002347EC">
        <w:rPr>
          <w:sz w:val="28"/>
          <w:szCs w:val="28"/>
        </w:rPr>
        <w:t xml:space="preserve">Соответственно, при завершении таможенной процедуры </w:t>
      </w:r>
      <w:r>
        <w:rPr>
          <w:sz w:val="28"/>
          <w:szCs w:val="28"/>
        </w:rPr>
        <w:t xml:space="preserve">СТЗ </w:t>
      </w:r>
      <w:r w:rsidRPr="00070A63">
        <w:rPr>
          <w:sz w:val="28"/>
          <w:szCs w:val="28"/>
        </w:rPr>
        <w:t>товар</w:t>
      </w:r>
      <w:r>
        <w:rPr>
          <w:sz w:val="28"/>
          <w:szCs w:val="28"/>
        </w:rPr>
        <w:t>ы</w:t>
      </w:r>
      <w:r w:rsidRPr="00070A63">
        <w:rPr>
          <w:sz w:val="28"/>
          <w:szCs w:val="28"/>
        </w:rPr>
        <w:t>, помещенны</w:t>
      </w:r>
      <w:r>
        <w:rPr>
          <w:sz w:val="28"/>
          <w:szCs w:val="28"/>
        </w:rPr>
        <w:t>е</w:t>
      </w:r>
      <w:r w:rsidRPr="00070A63">
        <w:rPr>
          <w:sz w:val="28"/>
          <w:szCs w:val="28"/>
        </w:rPr>
        <w:t xml:space="preserve"> под таможенную процедуру </w:t>
      </w:r>
      <w:r>
        <w:rPr>
          <w:sz w:val="28"/>
          <w:szCs w:val="28"/>
        </w:rPr>
        <w:t>СТЗ</w:t>
      </w:r>
      <w:r w:rsidRPr="00070A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и </w:t>
      </w:r>
      <w:r w:rsidRPr="00070A63">
        <w:rPr>
          <w:sz w:val="28"/>
          <w:szCs w:val="28"/>
        </w:rPr>
        <w:t>товар</w:t>
      </w:r>
      <w:r>
        <w:rPr>
          <w:sz w:val="28"/>
          <w:szCs w:val="28"/>
        </w:rPr>
        <w:t>ы</w:t>
      </w:r>
      <w:r w:rsidRPr="00070A63">
        <w:rPr>
          <w:sz w:val="28"/>
          <w:szCs w:val="28"/>
        </w:rPr>
        <w:t>, изготовленны</w:t>
      </w:r>
      <w:r>
        <w:rPr>
          <w:sz w:val="28"/>
          <w:szCs w:val="28"/>
        </w:rPr>
        <w:t>е</w:t>
      </w:r>
      <w:r w:rsidRPr="00070A63">
        <w:rPr>
          <w:sz w:val="28"/>
          <w:szCs w:val="28"/>
        </w:rPr>
        <w:t xml:space="preserve"> (полученны</w:t>
      </w:r>
      <w:r>
        <w:rPr>
          <w:sz w:val="28"/>
          <w:szCs w:val="28"/>
        </w:rPr>
        <w:t>е</w:t>
      </w:r>
      <w:r w:rsidRPr="00632A07">
        <w:rPr>
          <w:sz w:val="28"/>
          <w:szCs w:val="28"/>
        </w:rPr>
        <w:t xml:space="preserve">) с использованием </w:t>
      </w:r>
      <w:proofErr w:type="gramStart"/>
      <w:r w:rsidRPr="00632A07">
        <w:rPr>
          <w:sz w:val="28"/>
          <w:szCs w:val="28"/>
        </w:rPr>
        <w:t>иностранных товаров, помещенных под таможенную процедуру</w:t>
      </w:r>
      <w:r>
        <w:rPr>
          <w:sz w:val="28"/>
          <w:szCs w:val="28"/>
        </w:rPr>
        <w:t xml:space="preserve"> всегда признаются</w:t>
      </w:r>
      <w:proofErr w:type="gramEnd"/>
      <w:r>
        <w:rPr>
          <w:sz w:val="28"/>
          <w:szCs w:val="28"/>
        </w:rPr>
        <w:t xml:space="preserve"> (считаются) органами государственных доходов иностранными товарами и подлежат обложению и взиманию </w:t>
      </w:r>
      <w:r w:rsidRPr="002347EC">
        <w:rPr>
          <w:sz w:val="28"/>
          <w:szCs w:val="28"/>
        </w:rPr>
        <w:t>таможенны</w:t>
      </w:r>
      <w:r>
        <w:rPr>
          <w:sz w:val="28"/>
          <w:szCs w:val="28"/>
        </w:rPr>
        <w:t>ми</w:t>
      </w:r>
      <w:r w:rsidRPr="002347E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ошлинами, </w:t>
      </w:r>
      <w:r w:rsidRPr="002347EC">
        <w:rPr>
          <w:sz w:val="28"/>
          <w:szCs w:val="28"/>
        </w:rPr>
        <w:t>налог</w:t>
      </w:r>
      <w:r>
        <w:rPr>
          <w:sz w:val="28"/>
          <w:szCs w:val="28"/>
        </w:rPr>
        <w:t>ами</w:t>
      </w:r>
      <w:r w:rsidRPr="002347EC">
        <w:rPr>
          <w:sz w:val="28"/>
          <w:szCs w:val="28"/>
        </w:rPr>
        <w:t xml:space="preserve"> в порядке и на условиях установленн</w:t>
      </w:r>
      <w:r>
        <w:rPr>
          <w:sz w:val="28"/>
          <w:szCs w:val="28"/>
        </w:rPr>
        <w:t>ых</w:t>
      </w:r>
      <w:r w:rsidRPr="002347EC">
        <w:rPr>
          <w:sz w:val="28"/>
          <w:szCs w:val="28"/>
        </w:rPr>
        <w:t xml:space="preserve"> Соглашением.</w:t>
      </w:r>
      <w:r>
        <w:rPr>
          <w:sz w:val="28"/>
          <w:szCs w:val="28"/>
        </w:rPr>
        <w:t xml:space="preserve"> </w:t>
      </w:r>
    </w:p>
    <w:p w:rsidR="009A71F1" w:rsidRDefault="009A71F1" w:rsidP="009A71F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пункту 9 статьи 17 Соглашения, </w:t>
      </w:r>
      <w:r w:rsidRPr="00070A63">
        <w:rPr>
          <w:sz w:val="28"/>
          <w:szCs w:val="28"/>
        </w:rPr>
        <w:t xml:space="preserve">таможенная процедура </w:t>
      </w:r>
      <w:r>
        <w:rPr>
          <w:sz w:val="28"/>
          <w:szCs w:val="28"/>
        </w:rPr>
        <w:t>СТЗ</w:t>
      </w:r>
      <w:r w:rsidRPr="00070A63">
        <w:rPr>
          <w:sz w:val="28"/>
          <w:szCs w:val="28"/>
        </w:rPr>
        <w:t xml:space="preserve"> в отношении товаров, помещенных под таможенную процедуру </w:t>
      </w:r>
      <w:r>
        <w:rPr>
          <w:sz w:val="28"/>
          <w:szCs w:val="28"/>
        </w:rPr>
        <w:t>СТЗ</w:t>
      </w:r>
      <w:r w:rsidRPr="00070A63">
        <w:rPr>
          <w:sz w:val="28"/>
          <w:szCs w:val="28"/>
        </w:rPr>
        <w:t xml:space="preserve">, завершается помещением под таможенные процедуры, указанные в подпунктах 1), 4), 5), 7), 8), 13), 14) пункта 1 статьи </w:t>
      </w:r>
      <w:r>
        <w:rPr>
          <w:sz w:val="28"/>
          <w:szCs w:val="28"/>
        </w:rPr>
        <w:t>306</w:t>
      </w:r>
      <w:r w:rsidRPr="00070A63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>Республики Казахстан "О т</w:t>
      </w:r>
      <w:r w:rsidRPr="00070A63">
        <w:rPr>
          <w:sz w:val="28"/>
          <w:szCs w:val="28"/>
        </w:rPr>
        <w:t>аможенно</w:t>
      </w:r>
      <w:r>
        <w:rPr>
          <w:sz w:val="28"/>
          <w:szCs w:val="28"/>
        </w:rPr>
        <w:t>м деле в Республике Казахстан" (далее-Кодекс),</w:t>
      </w:r>
      <w:r w:rsidRPr="00070A63">
        <w:rPr>
          <w:sz w:val="28"/>
          <w:szCs w:val="28"/>
        </w:rPr>
        <w:t xml:space="preserve"> товаров, изготовленных (полученных</w:t>
      </w:r>
      <w:r w:rsidRPr="00632A07">
        <w:rPr>
          <w:sz w:val="28"/>
          <w:szCs w:val="28"/>
        </w:rPr>
        <w:t xml:space="preserve">) с использованием иностранных товаров, помещенных под таможенную процедуру </w:t>
      </w:r>
      <w:r>
        <w:rPr>
          <w:sz w:val="28"/>
          <w:szCs w:val="28"/>
        </w:rPr>
        <w:t>СТЗ</w:t>
      </w:r>
      <w:r w:rsidRPr="00632A07">
        <w:rPr>
          <w:sz w:val="28"/>
          <w:szCs w:val="28"/>
        </w:rPr>
        <w:t>,</w:t>
      </w:r>
      <w:r w:rsidRPr="00070A63">
        <w:rPr>
          <w:sz w:val="28"/>
          <w:szCs w:val="28"/>
        </w:rPr>
        <w:t xml:space="preserve"> в случае</w:t>
      </w:r>
      <w:proofErr w:type="gramEnd"/>
      <w:r w:rsidRPr="00070A63">
        <w:rPr>
          <w:sz w:val="28"/>
          <w:szCs w:val="28"/>
        </w:rPr>
        <w:t xml:space="preserve"> если товары, изготовленные (полученные) </w:t>
      </w:r>
      <w:r w:rsidRPr="00632A07">
        <w:rPr>
          <w:sz w:val="28"/>
          <w:szCs w:val="28"/>
        </w:rPr>
        <w:t xml:space="preserve">с использованием иностранных </w:t>
      </w:r>
      <w:r w:rsidRPr="00632A07">
        <w:rPr>
          <w:sz w:val="28"/>
          <w:szCs w:val="28"/>
        </w:rPr>
        <w:lastRenderedPageBreak/>
        <w:t>товаров, не признаны товарами Таможенного союза и не вывозятся за пределы таможенной территории Таможенного союза.</w:t>
      </w:r>
      <w:bookmarkStart w:id="1" w:name="anc1001289927"/>
      <w:r>
        <w:rPr>
          <w:sz w:val="28"/>
          <w:szCs w:val="28"/>
        </w:rPr>
        <w:t xml:space="preserve"> </w:t>
      </w:r>
    </w:p>
    <w:p w:rsidR="009A71F1" w:rsidRDefault="009A71F1" w:rsidP="009A71F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при завершении таможенной процедуры СТЗ в отношении товаров</w:t>
      </w:r>
      <w:r w:rsidRPr="00070A63">
        <w:rPr>
          <w:sz w:val="28"/>
          <w:szCs w:val="28"/>
        </w:rPr>
        <w:t>, изготовленны</w:t>
      </w:r>
      <w:r>
        <w:rPr>
          <w:sz w:val="28"/>
          <w:szCs w:val="28"/>
        </w:rPr>
        <w:t>х</w:t>
      </w:r>
      <w:r w:rsidRPr="00070A63">
        <w:rPr>
          <w:sz w:val="28"/>
          <w:szCs w:val="28"/>
        </w:rPr>
        <w:t xml:space="preserve"> (полученны</w:t>
      </w:r>
      <w:r>
        <w:rPr>
          <w:sz w:val="28"/>
          <w:szCs w:val="28"/>
        </w:rPr>
        <w:t>х</w:t>
      </w:r>
      <w:r w:rsidRPr="00070A63">
        <w:rPr>
          <w:sz w:val="28"/>
          <w:szCs w:val="28"/>
        </w:rPr>
        <w:t xml:space="preserve">) </w:t>
      </w:r>
      <w:r w:rsidRPr="00632A07">
        <w:rPr>
          <w:sz w:val="28"/>
          <w:szCs w:val="28"/>
        </w:rPr>
        <w:t>с использованием иностранных товаров,</w:t>
      </w:r>
      <w:r>
        <w:rPr>
          <w:sz w:val="28"/>
          <w:szCs w:val="28"/>
        </w:rPr>
        <w:t xml:space="preserve"> взимание таможенных пошлин, налогов необходимо осуществлять на иностранную составляющую, путем проведения идентификации. </w:t>
      </w:r>
    </w:p>
    <w:p w:rsidR="009A71F1" w:rsidRDefault="009A71F1" w:rsidP="009A71F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идентификации иностранных товаров, в товарах изготовленных (полученных) с использованием иностранных товаров, необходимо </w:t>
      </w:r>
      <w:r w:rsidRPr="00350F5C">
        <w:rPr>
          <w:sz w:val="28"/>
          <w:szCs w:val="28"/>
        </w:rPr>
        <w:t>применят</w:t>
      </w:r>
      <w:r>
        <w:rPr>
          <w:sz w:val="28"/>
          <w:szCs w:val="28"/>
        </w:rPr>
        <w:t>ь</w:t>
      </w:r>
      <w:r w:rsidRPr="00350F5C">
        <w:rPr>
          <w:sz w:val="28"/>
          <w:szCs w:val="28"/>
        </w:rPr>
        <w:t xml:space="preserve"> способы, определенные </w:t>
      </w:r>
      <w:r>
        <w:rPr>
          <w:sz w:val="28"/>
          <w:szCs w:val="28"/>
        </w:rPr>
        <w:t xml:space="preserve">подпунктами 1)  - 4) </w:t>
      </w:r>
      <w:r w:rsidRPr="00350F5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50F5C">
        <w:rPr>
          <w:sz w:val="28"/>
          <w:szCs w:val="28"/>
        </w:rPr>
        <w:t xml:space="preserve"> 1 статьи 20 Соглашения</w:t>
      </w:r>
      <w:r>
        <w:rPr>
          <w:sz w:val="28"/>
          <w:szCs w:val="28"/>
        </w:rPr>
        <w:t xml:space="preserve">, исходя из характера товаров, производственного процесса и других критериев. В случае невозможности идентификации по первым четырем подпунктам пункта 1 статьи 20 Соглашения, необходимо применять пятый подпункт пункта 1  указанной статьи и принимать в качестве идентификации иные способы </w:t>
      </w:r>
      <w:r w:rsidRPr="001A0B2F">
        <w:rPr>
          <w:sz w:val="28"/>
          <w:szCs w:val="28"/>
        </w:rPr>
        <w:t>которые могут быть применены исходя из характера товаров, совершаемых операций, технологического процесса и других критериев, в том числе документальн</w:t>
      </w:r>
      <w:r>
        <w:rPr>
          <w:sz w:val="28"/>
          <w:szCs w:val="28"/>
        </w:rPr>
        <w:t>ую идентификацию</w:t>
      </w:r>
      <w:r w:rsidRPr="001A0B2F">
        <w:rPr>
          <w:sz w:val="28"/>
          <w:szCs w:val="28"/>
        </w:rPr>
        <w:t xml:space="preserve">. </w:t>
      </w:r>
    </w:p>
    <w:p w:rsidR="009A71F1" w:rsidRDefault="009A71F1" w:rsidP="009A71F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применения всех способов идентификации определенные пунктом 1 статьи 20 Соглашения, взимание таможенных пошлин, налогов производится на товары изготовленные (полученные) с использованием иностранных товаров, т.е. продукт переработки. </w:t>
      </w:r>
    </w:p>
    <w:p w:rsidR="009A71F1" w:rsidRDefault="009A71F1" w:rsidP="009A71F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Ставим в известность, что идентификация осуществляется по инициативе декларанта путем заявления сведений в декларации на товары, так как не является обязательным требованием для его соблюдения. </w:t>
      </w:r>
    </w:p>
    <w:p w:rsidR="009A71F1" w:rsidRDefault="009A71F1" w:rsidP="009A71F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Отмечаем, что в соответствии со статьей 307 Кодекса, </w:t>
      </w:r>
      <w:r w:rsidRPr="00F90690">
        <w:rPr>
          <w:sz w:val="28"/>
          <w:szCs w:val="28"/>
        </w:rPr>
        <w:t>помещ</w:t>
      </w:r>
      <w:r>
        <w:rPr>
          <w:sz w:val="28"/>
          <w:szCs w:val="28"/>
        </w:rPr>
        <w:t>ение товаров</w:t>
      </w:r>
      <w:r w:rsidRPr="00F90690">
        <w:rPr>
          <w:sz w:val="28"/>
          <w:szCs w:val="28"/>
        </w:rPr>
        <w:t xml:space="preserve"> под определенную таможенную процедуру</w:t>
      </w:r>
      <w:r>
        <w:rPr>
          <w:sz w:val="28"/>
          <w:szCs w:val="28"/>
        </w:rPr>
        <w:t xml:space="preserve"> осуществляется по выбору лица</w:t>
      </w:r>
      <w:r w:rsidRPr="00F90690">
        <w:rPr>
          <w:sz w:val="28"/>
          <w:szCs w:val="28"/>
        </w:rPr>
        <w:t>.</w:t>
      </w:r>
      <w:r>
        <w:rPr>
          <w:sz w:val="28"/>
          <w:szCs w:val="28"/>
        </w:rPr>
        <w:t xml:space="preserve"> Данная норма предоставляет возможность резидентам СЭЗ поместить иностранные товары под таможенную процедуру выпуска для внутреннего потребления до помещения под таможенную процедуру СТЗ. </w:t>
      </w:r>
    </w:p>
    <w:bookmarkEnd w:id="1"/>
    <w:p w:rsidR="009A71F1" w:rsidRDefault="009A71F1" w:rsidP="009A7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Указанный выше порядок завершения таможенной процедуры СТЗ, также необходимо применять в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возникших в отношении таможенной процедуры свободного склада. </w:t>
      </w:r>
    </w:p>
    <w:p w:rsidR="009A71F1" w:rsidRDefault="009A71F1" w:rsidP="009A7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Информируем, что </w:t>
      </w:r>
      <w:r w:rsidRPr="00413028">
        <w:rPr>
          <w:rFonts w:ascii="Times New Roman" w:hAnsi="Times New Roman"/>
          <w:sz w:val="28"/>
          <w:szCs w:val="28"/>
        </w:rPr>
        <w:t>Комитетом разработан</w:t>
      </w:r>
      <w:r>
        <w:rPr>
          <w:rFonts w:ascii="Times New Roman" w:hAnsi="Times New Roman"/>
          <w:sz w:val="28"/>
          <w:szCs w:val="28"/>
        </w:rPr>
        <w:t xml:space="preserve"> и проходит стадию согласования</w:t>
      </w:r>
      <w:r w:rsidRPr="00413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13028">
        <w:rPr>
          <w:rFonts w:ascii="Times New Roman" w:hAnsi="Times New Roman"/>
          <w:sz w:val="28"/>
          <w:szCs w:val="28"/>
        </w:rPr>
        <w:t>роект Приказа по определению порядка идентификации иностранных товаров в готовой продукции, который в настоящее время проходит процедуру согласования.</w:t>
      </w:r>
      <w:r>
        <w:rPr>
          <w:rFonts w:ascii="Times New Roman" w:hAnsi="Times New Roman"/>
          <w:sz w:val="28"/>
          <w:szCs w:val="28"/>
        </w:rPr>
        <w:t xml:space="preserve"> После введение в действие названного Приказа необходимо руководствоваться положениями указанного Приказа. </w:t>
      </w:r>
    </w:p>
    <w:p w:rsidR="009A71F1" w:rsidRDefault="009A71F1" w:rsidP="009A7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2C1B">
        <w:rPr>
          <w:rFonts w:ascii="Times New Roman" w:hAnsi="Times New Roman"/>
          <w:sz w:val="28"/>
          <w:szCs w:val="28"/>
        </w:rPr>
        <w:t>Дополнительно сообщаем о разработке Министерством по инвестициям и развитию РК проекта приказов по заключению специальных инвестиционных контрактов с резидентами СЭЗ и владельцами свободных складов и снятию с таможенного контроля условно выпущенных товаров, позволяющих в льготном режиме завершать таможенные процедуры СТЗ и СС.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71F1" w:rsidRDefault="009A71F1" w:rsidP="009A7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A71F1" w:rsidRDefault="009A71F1" w:rsidP="009A71F1">
      <w:pPr>
        <w:spacing w:after="0"/>
        <w:ind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Г. </w:t>
      </w:r>
      <w:proofErr w:type="spellStart"/>
      <w:r>
        <w:rPr>
          <w:rFonts w:ascii="Times New Roman" w:hAnsi="Times New Roman"/>
          <w:b/>
          <w:sz w:val="28"/>
          <w:szCs w:val="28"/>
        </w:rPr>
        <w:t>Амрин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71F1" w:rsidRPr="005E312D" w:rsidRDefault="009A71F1" w:rsidP="009A71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71F1" w:rsidRPr="005E312D" w:rsidRDefault="009A71F1" w:rsidP="009A71F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5E312D">
        <w:rPr>
          <w:rFonts w:ascii="Times New Roman" w:hAnsi="Times New Roman"/>
          <w:i/>
          <w:sz w:val="20"/>
          <w:szCs w:val="20"/>
        </w:rPr>
        <w:t>исп.</w:t>
      </w:r>
      <w:r>
        <w:rPr>
          <w:rFonts w:ascii="Times New Roman" w:hAnsi="Times New Roman"/>
          <w:i/>
          <w:sz w:val="20"/>
          <w:szCs w:val="20"/>
        </w:rPr>
        <w:t xml:space="preserve"> Т</w:t>
      </w:r>
      <w:r w:rsidRPr="005E312D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Сергазиев</w:t>
      </w:r>
      <w:proofErr w:type="spellEnd"/>
    </w:p>
    <w:p w:rsidR="009A71F1" w:rsidRDefault="009A71F1" w:rsidP="009A71F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5E312D">
        <w:rPr>
          <w:rFonts w:ascii="Times New Roman" w:hAnsi="Times New Roman"/>
          <w:i/>
          <w:sz w:val="20"/>
          <w:szCs w:val="20"/>
        </w:rPr>
        <w:t>тел. 71</w:t>
      </w:r>
      <w:r>
        <w:rPr>
          <w:rFonts w:ascii="Times New Roman" w:hAnsi="Times New Roman"/>
          <w:i/>
          <w:sz w:val="20"/>
          <w:szCs w:val="20"/>
        </w:rPr>
        <w:t>-</w:t>
      </w:r>
      <w:r w:rsidRPr="005E312D">
        <w:rPr>
          <w:rFonts w:ascii="Times New Roman" w:hAnsi="Times New Roman"/>
          <w:i/>
          <w:sz w:val="20"/>
          <w:szCs w:val="20"/>
        </w:rPr>
        <w:t>7</w:t>
      </w:r>
      <w:r>
        <w:rPr>
          <w:rFonts w:ascii="Times New Roman" w:hAnsi="Times New Roman"/>
          <w:i/>
          <w:sz w:val="20"/>
          <w:szCs w:val="20"/>
        </w:rPr>
        <w:t>5-59</w:t>
      </w:r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F1"/>
    <w:rsid w:val="005E0339"/>
    <w:rsid w:val="00627D0A"/>
    <w:rsid w:val="009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7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1F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rsid w:val="009A71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7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1F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rsid w:val="009A71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Правовое регулирование отношений, связанных с применением таможенной процедуры </vt:lpstr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2017-12-11T10:13:00Z</dcterms:created>
  <dcterms:modified xsi:type="dcterms:W3CDTF">2017-12-11T10:13:00Z</dcterms:modified>
</cp:coreProperties>
</file>