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79" w:rsidRPr="001B2471" w:rsidRDefault="00443A79" w:rsidP="00443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B2471">
        <w:rPr>
          <w:rFonts w:ascii="Times New Roman" w:hAnsi="Times New Roman"/>
          <w:sz w:val="28"/>
          <w:szCs w:val="28"/>
        </w:rPr>
        <w:t>Қазақстан Республикасы Қаржы министрі</w:t>
      </w:r>
      <w:r w:rsidRPr="001B2471">
        <w:rPr>
          <w:rFonts w:ascii="Times New Roman" w:hAnsi="Times New Roman"/>
          <w:sz w:val="28"/>
          <w:szCs w:val="28"/>
          <w:lang w:val="kk-KZ"/>
        </w:rPr>
        <w:t>нің</w:t>
      </w:r>
    </w:p>
    <w:p w:rsidR="00772170" w:rsidRPr="001B2471" w:rsidRDefault="007A72CD" w:rsidP="00443A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1B2471">
        <w:rPr>
          <w:rFonts w:ascii="Times New Roman" w:hAnsi="Times New Roman"/>
          <w:sz w:val="28"/>
          <w:szCs w:val="28"/>
          <w:lang w:val="kk-KZ"/>
        </w:rPr>
        <w:t>20</w:t>
      </w:r>
      <w:r w:rsidR="00F06679" w:rsidRPr="001B2471">
        <w:rPr>
          <w:rFonts w:ascii="Times New Roman" w:hAnsi="Times New Roman"/>
          <w:sz w:val="28"/>
          <w:szCs w:val="28"/>
          <w:lang w:val="kk-KZ"/>
        </w:rPr>
        <w:t>21 жылғы 19 сәуірдегі № 365</w:t>
      </w:r>
      <w:r w:rsidRPr="001B2471">
        <w:rPr>
          <w:rFonts w:ascii="Times New Roman" w:hAnsi="Times New Roman"/>
          <w:sz w:val="28"/>
          <w:szCs w:val="28"/>
          <w:lang w:val="kk-KZ"/>
        </w:rPr>
        <w:t xml:space="preserve"> бұйры</w:t>
      </w:r>
      <w:r w:rsidR="00443A79" w:rsidRPr="001B2471">
        <w:rPr>
          <w:rFonts w:ascii="Times New Roman" w:hAnsi="Times New Roman"/>
          <w:sz w:val="28"/>
          <w:szCs w:val="28"/>
          <w:lang w:val="kk-KZ"/>
        </w:rPr>
        <w:t xml:space="preserve">ғымен </w:t>
      </w:r>
      <w:r w:rsidRPr="001B2471">
        <w:rPr>
          <w:rFonts w:ascii="Times New Roman" w:hAnsi="Times New Roman"/>
          <w:sz w:val="28"/>
          <w:szCs w:val="28"/>
          <w:lang w:val="kk-KZ"/>
        </w:rPr>
        <w:t>бекітілген</w:t>
      </w:r>
    </w:p>
    <w:p w:rsidR="00772170" w:rsidRPr="001B2471" w:rsidRDefault="004C0C6A" w:rsidP="004C0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2020-2024 жылдарға арналған </w:t>
      </w:r>
      <w:r w:rsidR="00772170" w:rsidRPr="001B247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A72CD" w:rsidRPr="001B2471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Д</w:t>
      </w:r>
      <w:r w:rsidR="00F06679" w:rsidRPr="001B2471">
        <w:rPr>
          <w:rFonts w:ascii="Times New Roman" w:hAnsi="Times New Roman"/>
          <w:b/>
          <w:sz w:val="28"/>
          <w:szCs w:val="28"/>
          <w:lang w:val="kk-KZ"/>
        </w:rPr>
        <w:t xml:space="preserve">аму </w:t>
      </w:r>
      <w:r w:rsidR="007A72CD" w:rsidRPr="001B2471">
        <w:rPr>
          <w:rFonts w:ascii="Times New Roman" w:hAnsi="Times New Roman"/>
          <w:b/>
          <w:sz w:val="28"/>
          <w:szCs w:val="28"/>
          <w:lang w:val="kk-KZ"/>
        </w:rPr>
        <w:t>жоспарын іске асыру туралы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2022 жыл бойынша</w:t>
      </w:r>
    </w:p>
    <w:p w:rsidR="00347344" w:rsidRPr="001B2471" w:rsidRDefault="007A72CD" w:rsidP="007A7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2471">
        <w:rPr>
          <w:rFonts w:ascii="Times New Roman" w:hAnsi="Times New Roman"/>
          <w:b/>
          <w:sz w:val="28"/>
          <w:szCs w:val="28"/>
          <w:lang w:val="kk-KZ"/>
        </w:rPr>
        <w:t>есеп</w:t>
      </w:r>
    </w:p>
    <w:p w:rsidR="007A72CD" w:rsidRPr="001B2471" w:rsidRDefault="00347344" w:rsidP="007A72C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1B2471">
        <w:rPr>
          <w:rFonts w:ascii="Times New Roman" w:hAnsi="Times New Roman"/>
          <w:i/>
          <w:sz w:val="28"/>
          <w:szCs w:val="28"/>
          <w:lang w:val="kk-KZ"/>
        </w:rPr>
        <w:t xml:space="preserve"> (Мемлекеттік кірістер комитеті құзыретіндегі нысаналы индикаторлар)</w:t>
      </w:r>
    </w:p>
    <w:p w:rsidR="00E51D9C" w:rsidRPr="001B2471" w:rsidRDefault="00E51D9C" w:rsidP="007A72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93495" w:rsidRPr="001B2471" w:rsidRDefault="00F06679" w:rsidP="00B93495">
      <w:pPr>
        <w:spacing w:after="0" w:line="276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B2471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  <w:t xml:space="preserve">                     1</w:t>
      </w:r>
      <w:r w:rsidR="00B93495" w:rsidRPr="001B2471">
        <w:rPr>
          <w:rFonts w:ascii="Times New Roman" w:hAnsi="Times New Roman"/>
          <w:b/>
          <w:sz w:val="28"/>
          <w:szCs w:val="28"/>
          <w:lang w:val="kk-KZ"/>
        </w:rPr>
        <w:t>. Мақсаттарға және нысаналы индикаторларға қол жеткізу</w:t>
      </w:r>
    </w:p>
    <w:p w:rsidR="00A26217" w:rsidRPr="001B2471" w:rsidRDefault="00A26217" w:rsidP="00A26217">
      <w:pPr>
        <w:widowControl w:val="0"/>
        <w:pBdr>
          <w:bottom w:val="single" w:sz="4" w:space="2" w:color="FFFFFF"/>
        </w:pBd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773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852"/>
        <w:gridCol w:w="708"/>
        <w:gridCol w:w="709"/>
        <w:gridCol w:w="798"/>
        <w:gridCol w:w="14"/>
        <w:gridCol w:w="38"/>
        <w:gridCol w:w="5526"/>
      </w:tblGrid>
      <w:tr w:rsidR="00A26217" w:rsidRPr="001B2471" w:rsidTr="00EB1CF4">
        <w:trPr>
          <w:trHeight w:val="415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17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Нысаналы индикатор</w:t>
            </w:r>
            <w:r w:rsidR="00D020C5" w:rsidRPr="001B2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17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Ақпарат көзі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17" w:rsidRPr="001B2471" w:rsidRDefault="00A26217" w:rsidP="002A2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0" w:right="-10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Өлш</w:t>
            </w:r>
            <w:r w:rsidR="002A23CC" w:rsidRPr="001B247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ем бір</w:t>
            </w:r>
            <w:r w:rsidR="00A77FCC" w:rsidRPr="001B2471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лігі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17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202</w:t>
            </w:r>
            <w:r w:rsidR="0009724D" w:rsidRPr="001B247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жыл</w:t>
            </w:r>
            <w:r w:rsidR="00D020C5" w:rsidRPr="001B2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ғы есепті кезең </w:t>
            </w:r>
          </w:p>
          <w:p w:rsidR="00A26217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0C5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Ескерту</w:t>
            </w:r>
            <w:r w:rsidR="00D020C5" w:rsidRPr="001B2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(орында</w:t>
            </w:r>
            <w:r w:rsidR="00772170" w:rsidRPr="001B2471"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r w:rsidR="00D020C5" w:rsidRPr="001B2471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="00772170" w:rsidRPr="001B2471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D020C5" w:rsidRPr="001B2471">
              <w:rPr>
                <w:rFonts w:ascii="Times New Roman" w:hAnsi="Times New Roman"/>
                <w:sz w:val="28"/>
                <w:szCs w:val="28"/>
                <w:lang w:val="kk-KZ"/>
              </w:rPr>
              <w:t>/орында</w:t>
            </w:r>
            <w:r w:rsidR="00772170" w:rsidRPr="001B2471">
              <w:rPr>
                <w:rFonts w:ascii="Times New Roman" w:hAnsi="Times New Roman"/>
                <w:sz w:val="28"/>
                <w:szCs w:val="28"/>
                <w:lang w:val="kk-KZ"/>
              </w:rPr>
              <w:t>л</w:t>
            </w:r>
            <w:r w:rsidR="00D020C5" w:rsidRPr="001B2471">
              <w:rPr>
                <w:rFonts w:ascii="Times New Roman" w:hAnsi="Times New Roman"/>
                <w:sz w:val="28"/>
                <w:szCs w:val="28"/>
                <w:lang w:val="kk-KZ"/>
              </w:rPr>
              <w:t>мау</w:t>
            </w:r>
            <w:r w:rsidR="00772170" w:rsidRPr="001B2471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  <w:p w:rsidR="00A26217" w:rsidRPr="001B2471" w:rsidRDefault="00D020C5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туралы ақпарат)</w:t>
            </w:r>
          </w:p>
        </w:tc>
      </w:tr>
      <w:tr w:rsidR="00A26217" w:rsidRPr="001B2471" w:rsidTr="00EB1CF4">
        <w:trPr>
          <w:trHeight w:val="708"/>
        </w:trPr>
        <w:tc>
          <w:tcPr>
            <w:tcW w:w="2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17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17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17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17" w:rsidRPr="001B2471" w:rsidRDefault="00A26217" w:rsidP="002A23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Жос-пар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A26217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Факт</w:t>
            </w:r>
            <w:r w:rsidR="00D020C5" w:rsidRPr="001B2471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557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7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A26217" w:rsidRPr="001B2471" w:rsidTr="00EB1CF4">
        <w:trPr>
          <w:trHeight w:val="218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17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17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17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17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6217" w:rsidRPr="001B2471" w:rsidRDefault="00A26217" w:rsidP="00A262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217" w:rsidRPr="001B2471" w:rsidRDefault="00A26217" w:rsidP="00A26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</w:tr>
      <w:tr w:rsidR="00A26217" w:rsidRPr="001B2471" w:rsidTr="009B6779">
        <w:trPr>
          <w:trHeight w:val="28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217" w:rsidRPr="001B2471" w:rsidRDefault="00A26217" w:rsidP="00A26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1-стратегиялық бағыт </w:t>
            </w:r>
            <w:r w:rsidR="00D33CF2" w:rsidRPr="001B2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 w:rsidRPr="001B2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Қаржы жүйесінің </w:t>
            </w:r>
            <w:r w:rsidR="00D020C5" w:rsidRPr="001B2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орнықтылығына жәрдем</w:t>
            </w:r>
            <w:r w:rsidR="00F26E68" w:rsidRPr="001B2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</w:t>
            </w:r>
            <w:r w:rsidR="00E30819" w:rsidRPr="001B2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су</w:t>
            </w:r>
            <w:r w:rsidR="00D33CF2" w:rsidRPr="001B2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A26217" w:rsidRPr="001B2471" w:rsidTr="00EB1CF4">
        <w:trPr>
          <w:trHeight w:val="707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17" w:rsidRPr="001B2471" w:rsidRDefault="00F06679" w:rsidP="00443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Макро-индикаторлар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17" w:rsidRPr="001B2471" w:rsidRDefault="00A26217" w:rsidP="00443A79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17" w:rsidRPr="001B2471" w:rsidRDefault="00A26217" w:rsidP="00443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217" w:rsidRPr="001B2471" w:rsidRDefault="00A26217" w:rsidP="00443A79">
            <w:pPr>
              <w:spacing w:after="0" w:line="240" w:lineRule="auto"/>
              <w:ind w:right="-10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6217" w:rsidRPr="001B2471" w:rsidRDefault="00A26217" w:rsidP="00A26217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val="kk-KZ"/>
              </w:rPr>
            </w:pPr>
          </w:p>
        </w:tc>
        <w:tc>
          <w:tcPr>
            <w:tcW w:w="5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7" w:rsidRPr="001B2471" w:rsidRDefault="00A26217" w:rsidP="00A77F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val="kk-KZ" w:eastAsia="ru-RU"/>
              </w:rPr>
            </w:pPr>
          </w:p>
        </w:tc>
      </w:tr>
      <w:tr w:rsidR="00F40C56" w:rsidRPr="004C0C6A" w:rsidTr="00EB1CF4">
        <w:trPr>
          <w:trHeight w:val="1760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56" w:rsidRPr="001B2471" w:rsidRDefault="00F40C56" w:rsidP="006B38E9">
            <w:pPr>
              <w:pStyle w:val="a3"/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ЖІӨ-де шоғырланды</w:t>
            </w:r>
            <w:r w:rsidR="0007055E" w:rsidRPr="001B2471">
              <w:rPr>
                <w:rFonts w:ascii="Times New Roman" w:hAnsi="Times New Roman"/>
                <w:sz w:val="28"/>
                <w:szCs w:val="28"/>
              </w:rPr>
              <w:t>-</w:t>
            </w: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рылған бюджеттің салық </w:t>
            </w:r>
          </w:p>
          <w:p w:rsidR="00F40C56" w:rsidRPr="001B2471" w:rsidRDefault="00F40C56" w:rsidP="00443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түсімдерінің үлесі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56" w:rsidRPr="001B2471" w:rsidRDefault="00F40C56" w:rsidP="002744A3">
            <w:pPr>
              <w:spacing w:after="0" w:line="240" w:lineRule="auto"/>
              <w:ind w:left="-11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Әкім-</w:t>
            </w:r>
          </w:p>
          <w:p w:rsidR="00F40C56" w:rsidRPr="001B2471" w:rsidRDefault="00F40C56" w:rsidP="002744A3">
            <w:pPr>
              <w:spacing w:after="0" w:line="240" w:lineRule="auto"/>
              <w:ind w:left="-110" w:right="-10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шілік </w:t>
            </w:r>
          </w:p>
          <w:p w:rsidR="00F40C56" w:rsidRPr="001B2471" w:rsidRDefault="00F40C56" w:rsidP="002744A3">
            <w:pPr>
              <w:spacing w:after="0" w:line="240" w:lineRule="auto"/>
              <w:ind w:left="-11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дерек</w:t>
            </w:r>
          </w:p>
          <w:p w:rsidR="00F40C56" w:rsidRPr="001B2471" w:rsidRDefault="00F40C56" w:rsidP="002744A3">
            <w:pPr>
              <w:spacing w:after="0" w:line="240" w:lineRule="auto"/>
              <w:ind w:left="-11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56" w:rsidRPr="001B2471" w:rsidRDefault="00F40C56" w:rsidP="00443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56" w:rsidRPr="001B2471" w:rsidRDefault="00EB1CF4" w:rsidP="00443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sz w:val="28"/>
                <w:szCs w:val="28"/>
                <w:lang w:val="kk-KZ"/>
              </w:rPr>
              <w:t>16,5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C56" w:rsidRPr="001B2471" w:rsidRDefault="00C01CDA" w:rsidP="006F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val="kk-KZ"/>
              </w:rPr>
            </w:pPr>
            <w:r w:rsidRPr="001B247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kk-KZ"/>
              </w:rPr>
              <w:t>20,</w:t>
            </w:r>
            <w:r w:rsidR="006F432F" w:rsidRPr="001B247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kk-KZ"/>
              </w:rPr>
              <w:t>5</w:t>
            </w:r>
            <w:r w:rsidRPr="001B2471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val="kk-KZ"/>
              </w:rPr>
              <w:t xml:space="preserve"> (алдын ала дерек-тер)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0F1" w:rsidRPr="001B2471" w:rsidRDefault="00314EBB" w:rsidP="0039711B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97" w:right="215" w:hanging="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B247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Атқарылуда</w:t>
            </w:r>
            <w:r w:rsidR="002A40F1" w:rsidRPr="001B2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</w:p>
          <w:p w:rsidR="00CD6B98" w:rsidRPr="001B2471" w:rsidRDefault="00CD6B98" w:rsidP="0039711B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97" w:right="215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ҚР Стратегиялық жоспарлау және реформалар агенттігі Ұлттық статистика бюросы басшысының 2022 жылғы 11 қазандағы № 33 бұйрығымен бекітілген 2023 жылға арналған Статистикалық жұмыс жоспарына сәйкес 2022 жылғы ЖІӨ бойынша түпкілікті деректерді орналастыру мерзімі – </w:t>
            </w:r>
            <w:r w:rsidRPr="001B2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2023 жылғы 31 шілде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</w:p>
          <w:p w:rsidR="00F40C56" w:rsidRPr="001B2471" w:rsidRDefault="00F40C56" w:rsidP="0039711B">
            <w:pPr>
              <w:widowControl w:val="0"/>
              <w:pBdr>
                <w:bottom w:val="single" w:sz="4" w:space="6" w:color="FFFFFF"/>
              </w:pBdr>
              <w:tabs>
                <w:tab w:val="left" w:pos="197"/>
              </w:tabs>
              <w:spacing w:after="0" w:line="240" w:lineRule="auto"/>
              <w:ind w:left="97" w:right="215" w:hanging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  <w:lang w:val="kk-KZ"/>
              </w:rPr>
            </w:pPr>
          </w:p>
        </w:tc>
      </w:tr>
      <w:tr w:rsidR="00A837AC" w:rsidRPr="004C0C6A" w:rsidTr="009B6779">
        <w:trPr>
          <w:trHeight w:val="365"/>
        </w:trPr>
        <w:tc>
          <w:tcPr>
            <w:tcW w:w="10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AC" w:rsidRPr="001B2471" w:rsidRDefault="00A837AC" w:rsidP="00E223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126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val="kk-KZ" w:eastAsia="ru-RU"/>
              </w:rPr>
            </w:pPr>
            <w:r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1.1-стратегиялық мақсат «Бюджеттің те</w:t>
            </w:r>
            <w:r w:rsidR="00E22302"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ң</w:t>
            </w:r>
            <w:r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герімділігін және атқарылуын қамтамасыз ету»</w:t>
            </w:r>
          </w:p>
        </w:tc>
      </w:tr>
      <w:tr w:rsidR="00037E04" w:rsidRPr="004C0C6A" w:rsidTr="00EB1CF4">
        <w:trPr>
          <w:trHeight w:val="1760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04" w:rsidRPr="001B2471" w:rsidRDefault="00037E04" w:rsidP="00037E0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Мұнай</w:t>
            </w:r>
            <w:r w:rsidR="00E22302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емес сектордан түсетін салық түсімдерінің өсу қарқыны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04" w:rsidRPr="001B2471" w:rsidRDefault="00037E04" w:rsidP="00037E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Әкім-шілік деректер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04" w:rsidRPr="001B2471" w:rsidRDefault="00037E04" w:rsidP="0003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04" w:rsidRPr="001B2471" w:rsidRDefault="00037E04" w:rsidP="00037E04">
            <w:pPr>
              <w:spacing w:after="0" w:line="240" w:lineRule="auto"/>
              <w:ind w:right="-103" w:hanging="1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107,7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7E04" w:rsidRPr="001B2471" w:rsidRDefault="00037E04" w:rsidP="00037E04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134,1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04" w:rsidRPr="001B2471" w:rsidRDefault="00037E04" w:rsidP="0039711B">
            <w:pPr>
              <w:spacing w:after="0" w:line="240" w:lineRule="auto"/>
              <w:ind w:left="121" w:right="168" w:firstLine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B2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Қол жеткізілді.</w:t>
            </w:r>
          </w:p>
          <w:p w:rsidR="00037E04" w:rsidRPr="001B2471" w:rsidRDefault="00E22302" w:rsidP="0039711B">
            <w:pPr>
              <w:spacing w:after="0" w:line="240" w:lineRule="auto"/>
              <w:ind w:left="121" w:right="168" w:firstLine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2022 жылы</w:t>
            </w:r>
            <w:r w:rsidRPr="001B247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kk-KZ"/>
              </w:rPr>
              <w:t xml:space="preserve"> м</w:t>
            </w:r>
            <w:r w:rsidR="00037E04" w:rsidRPr="001B247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kk-KZ"/>
              </w:rPr>
              <w:t>ұнай</w:t>
            </w:r>
            <w:r w:rsidRPr="001B247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kk-KZ"/>
              </w:rPr>
              <w:t>лы</w:t>
            </w:r>
            <w:r w:rsidR="00037E04" w:rsidRPr="001B247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val="kk-KZ"/>
              </w:rPr>
              <w:t xml:space="preserve"> емес сектор</w:t>
            </w:r>
            <w:r w:rsidR="00037E04"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кәсіпорындары бойынша түсімдер,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</w:r>
            <w:r w:rsidR="00037E04"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2021 жыл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ы</w:t>
            </w:r>
            <w:r w:rsidR="00037E04"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037E04" w:rsidRPr="001B247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3 115 млрд</w:t>
            </w:r>
            <w:r w:rsidR="00037E04"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. теңгеге немесе </w:t>
            </w:r>
            <w:r w:rsidR="00037E04" w:rsidRPr="001B247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34,1%</w:t>
            </w:r>
            <w:r w:rsidR="00037E04"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-ға </w:t>
            </w:r>
            <w:r w:rsidR="00037E04" w:rsidRPr="001B24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(2021 жылға - 9 132 млрд.теңге)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өсе отырып</w:t>
            </w:r>
            <w:r w:rsidRPr="001B24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Pr="001B247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12 248 млрд.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теңгені құрайды</w:t>
            </w:r>
            <w:r w:rsidR="00037E04" w:rsidRPr="001B24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</w:p>
          <w:p w:rsidR="00037E04" w:rsidRPr="001B2471" w:rsidRDefault="00037E04" w:rsidP="0039711B">
            <w:pPr>
              <w:spacing w:after="0" w:line="240" w:lineRule="auto"/>
              <w:ind w:left="121" w:right="168" w:firstLine="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Шоғырландырылған бюджетке түсетін салық түсімдерінің жалпы көлеміндегі мұнай</w:t>
            </w:r>
            <w:r w:rsidR="00E22302"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лы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емес сектор түсімдерінің үлесі </w:t>
            </w:r>
            <w:r w:rsidRPr="001B247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57,7%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="00E22302"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ды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құрайды.</w:t>
            </w:r>
          </w:p>
          <w:p w:rsidR="00037E04" w:rsidRPr="001B2471" w:rsidRDefault="00037E04" w:rsidP="0039711B">
            <w:pPr>
              <w:spacing w:after="0" w:line="240" w:lineRule="auto"/>
              <w:ind w:left="121" w:right="168" w:firstLine="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2022 жылы 2021 жылмен салыстырғанда негізгі экспорттық позицияларға, оның ішінде мырышқа </w:t>
            </w:r>
            <w:r w:rsidRPr="001B247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16,0%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-ға және алюминийге </w:t>
            </w:r>
            <w:r w:rsidRPr="001B247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9,3%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-ға бағаның өсуі байқалады.</w:t>
            </w:r>
          </w:p>
          <w:p w:rsidR="00037E04" w:rsidRPr="001B2471" w:rsidRDefault="00037E04" w:rsidP="0039711B">
            <w:pPr>
              <w:spacing w:after="0" w:line="240" w:lineRule="auto"/>
              <w:ind w:left="121" w:right="168" w:firstLine="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Сондай-ақ, үшінші елдермен тауар айналымы 2022 жылы 41,2%-ға өсті </w:t>
            </w:r>
            <w:r w:rsidRPr="001B2471"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  <w:t xml:space="preserve">(экспорт </w:t>
            </w:r>
            <w:r w:rsidRPr="001B247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t>42,2%</w:t>
            </w:r>
            <w:r w:rsidRPr="001B2471"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  <w:t xml:space="preserve">-ға, импорт </w:t>
            </w:r>
            <w:r w:rsidRPr="001B247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t>38,9%</w:t>
            </w:r>
            <w:r w:rsidRPr="001B2471"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  <w:t>-ға өсті).</w:t>
            </w:r>
          </w:p>
          <w:p w:rsidR="00037E04" w:rsidRPr="001B2471" w:rsidRDefault="00037E04" w:rsidP="0039711B">
            <w:pPr>
              <w:spacing w:after="0" w:line="240" w:lineRule="auto"/>
              <w:ind w:left="121" w:right="168" w:firstLine="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2022 жылы тауарларды, жұмыстарды және қызметтерді өткізу бойынша айналым 2021 жылмен салыстырғанда </w:t>
            </w:r>
            <w:r w:rsidRPr="001B247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28,4%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-ға </w:t>
            </w:r>
            <w:r w:rsidRPr="001B2471"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  <w:t>(119 687 млрд.теңгеден 153 675 млрд. теңгеге дейін)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ұлғайды.</w:t>
            </w:r>
          </w:p>
          <w:p w:rsidR="00037E04" w:rsidRPr="004C0C6A" w:rsidRDefault="00037E04" w:rsidP="0039711B">
            <w:pPr>
              <w:spacing w:after="0" w:line="240" w:lineRule="auto"/>
              <w:ind w:left="121" w:right="168" w:firstLine="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kk-KZ"/>
              </w:rPr>
            </w:pPr>
          </w:p>
        </w:tc>
      </w:tr>
      <w:tr w:rsidR="00037E04" w:rsidRPr="001B2471" w:rsidTr="00EB1CF4">
        <w:trPr>
          <w:trHeight w:val="1760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04" w:rsidRPr="001B2471" w:rsidRDefault="00037E04" w:rsidP="00E22302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Импорт көлеміне кеден және салық төлемдерін алу  коэффициенті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04" w:rsidRPr="001B2471" w:rsidRDefault="00037E04" w:rsidP="00037E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Әкім-шілік деректер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04" w:rsidRPr="001B2471" w:rsidRDefault="00037E04" w:rsidP="00037E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04" w:rsidRPr="001B2471" w:rsidRDefault="00037E04" w:rsidP="00037E04">
            <w:pPr>
              <w:spacing w:after="0" w:line="240" w:lineRule="auto"/>
              <w:ind w:right="-103" w:hanging="1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17,2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7E04" w:rsidRPr="001B2471" w:rsidRDefault="00037E04" w:rsidP="00037E04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17,4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04" w:rsidRPr="001B2471" w:rsidRDefault="00037E04" w:rsidP="0039711B">
            <w:pPr>
              <w:spacing w:after="0" w:line="240" w:lineRule="auto"/>
              <w:ind w:left="121" w:right="168" w:firstLine="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B2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Қол жеткізілді.</w:t>
            </w:r>
          </w:p>
          <w:p w:rsidR="00037E04" w:rsidRPr="001B2471" w:rsidRDefault="00037E04" w:rsidP="0039711B">
            <w:pPr>
              <w:spacing w:after="0" w:line="240" w:lineRule="auto"/>
              <w:ind w:left="121" w:right="168" w:firstLine="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2471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2022 жылы </w:t>
            </w:r>
            <w:r w:rsidRPr="001B24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КТжС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 </w:t>
            </w:r>
            <w:r w:rsidR="00E22302" w:rsidRPr="001B2471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алу 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коэффициенті</w:t>
            </w:r>
            <w:r w:rsidR="00E22302" w:rsidRPr="001B2471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- </w:t>
            </w:r>
            <w:r w:rsidRPr="001B24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 xml:space="preserve">4,8 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млрд. 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АҚШ доллары, импорт көлемі – </w:t>
            </w:r>
            <w:r w:rsidRPr="001B24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27,6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млрд. АҚШ доллары.</w:t>
            </w:r>
          </w:p>
          <w:p w:rsidR="00037E04" w:rsidRPr="001B2471" w:rsidRDefault="00037E04" w:rsidP="0039711B">
            <w:pPr>
              <w:spacing w:after="0" w:line="240" w:lineRule="auto"/>
              <w:ind w:left="121" w:right="168" w:firstLine="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24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Импорттық баж бойынша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алу коэффициенті – 4,9% (импорттық баж 1,4 млрд. АҚШ долларын құрады, импорт көлемі 27,6 млрд. АҚШ доллары</w:t>
            </w:r>
            <w:r w:rsidR="00E22302" w:rsidRPr="001B2471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н құрады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  <w:r w:rsidRPr="001B24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ҚҚС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бойынша </w:t>
            </w:r>
            <w:r w:rsidRPr="001B24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12,5%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(ҚҚС 3,4 млрд. АҚШ долларын құрады, импорт көлемі 27,6 млрд. АҚШ </w:t>
            </w:r>
            <w:r w:rsidR="00E22302" w:rsidRPr="001B2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долларын құрады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037E04" w:rsidRPr="001B2471" w:rsidRDefault="00037E04" w:rsidP="0039711B">
            <w:pPr>
              <w:spacing w:after="0" w:line="240" w:lineRule="auto"/>
              <w:ind w:left="121" w:right="168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1E2" w:rsidRPr="004C0C6A" w:rsidTr="00C367B3">
        <w:trPr>
          <w:trHeight w:val="830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Pr="001B2471" w:rsidRDefault="003E31E2" w:rsidP="00314EBB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ТБЖ әсер еткен барлық </w:t>
            </w:r>
            <w:r w:rsidR="00314EBB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таураларға 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декларация</w:t>
            </w:r>
            <w:r w:rsidR="00314EBB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ның жалпы 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санына</w:t>
            </w:r>
            <w:r w:rsidR="00314EBB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тәуекелдер </w:t>
            </w:r>
            <w:r w:rsidR="00314EBB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расталған 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тауарларға декларация үлесі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Pr="001B2471" w:rsidRDefault="003E31E2" w:rsidP="003E3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Әкім-шілік деректер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Pr="001B2471" w:rsidRDefault="003E31E2" w:rsidP="003E3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1E2" w:rsidRPr="001B2471" w:rsidRDefault="003E31E2" w:rsidP="003E31E2">
            <w:pPr>
              <w:spacing w:after="0" w:line="240" w:lineRule="auto"/>
              <w:ind w:right="-103" w:hanging="1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E31E2" w:rsidRPr="001B2471" w:rsidRDefault="003E31E2" w:rsidP="003E31E2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E2" w:rsidRPr="001B2471" w:rsidRDefault="003E31E2" w:rsidP="00A82B5C">
            <w:pPr>
              <w:autoSpaceDE w:val="0"/>
              <w:autoSpaceDN w:val="0"/>
              <w:adjustRightInd w:val="0"/>
              <w:spacing w:after="0" w:line="240" w:lineRule="auto"/>
              <w:ind w:left="121" w:right="98" w:firstLine="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Қол жеткізілмеді</w:t>
            </w:r>
          </w:p>
          <w:p w:rsidR="003E31E2" w:rsidRPr="001B2471" w:rsidRDefault="003E31E2" w:rsidP="00A82B5C">
            <w:pPr>
              <w:autoSpaceDE w:val="0"/>
              <w:autoSpaceDN w:val="0"/>
              <w:adjustRightInd w:val="0"/>
              <w:spacing w:after="0" w:line="240" w:lineRule="auto"/>
              <w:ind w:left="121" w:right="98" w:firstLine="2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2022 жылы ТБЖ тиімділігі жоспарланған </w:t>
            </w:r>
            <w:r w:rsidRPr="001B2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68%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-дан </w:t>
            </w:r>
            <w:r w:rsidRPr="001B2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66%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-</w:t>
            </w:r>
            <w:r w:rsidR="00314EBB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ды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құрады </w:t>
            </w:r>
            <w:r w:rsidRPr="001B24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(тәуекел профилі іске қосылған 137,9 мың ТД-дан 90,5 мың ТД-дан тәуекел расталды). </w:t>
            </w:r>
          </w:p>
          <w:p w:rsidR="003E31E2" w:rsidRPr="001B2471" w:rsidRDefault="003E31E2" w:rsidP="00A82B5C">
            <w:pPr>
              <w:autoSpaceDE w:val="0"/>
              <w:autoSpaceDN w:val="0"/>
              <w:adjustRightInd w:val="0"/>
              <w:spacing w:after="0" w:line="240" w:lineRule="auto"/>
              <w:ind w:left="121" w:right="98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Көрсеткіштің төмендеуіне </w:t>
            </w:r>
            <w:r w:rsidR="00314EBB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мынадай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факторлар әсер етті:</w:t>
            </w:r>
          </w:p>
          <w:p w:rsidR="003E31E2" w:rsidRPr="001B2471" w:rsidRDefault="003E31E2" w:rsidP="00A82B5C">
            <w:pPr>
              <w:autoSpaceDE w:val="0"/>
              <w:autoSpaceDN w:val="0"/>
              <w:adjustRightInd w:val="0"/>
              <w:spacing w:after="0" w:line="240" w:lineRule="auto"/>
              <w:ind w:left="121" w:right="98" w:firstLine="2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1.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ab/>
              <w:t>Ресей Федерациясына қатысты санкциялар енгізіл</w:t>
            </w:r>
            <w:r w:rsidR="00314EBB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уімен 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2022 жылы импорт көлемі </w:t>
            </w:r>
            <w:r w:rsidRPr="001B2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1,4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есеге </w:t>
            </w:r>
            <w:r w:rsidRPr="001B2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(52,5-тен 74,7 млрд. АҚШ</w:t>
            </w:r>
            <w:r w:rsidR="00314EBB" w:rsidRPr="001B2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долларына дейін</w:t>
            </w:r>
            <w:r w:rsidRPr="001B2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)</w:t>
            </w:r>
            <w:r w:rsidR="00314EBB" w:rsidRPr="001B2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</w:t>
            </w:r>
            <w:r w:rsidR="00314EBB" w:rsidRPr="001B24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ұлғайды</w:t>
            </w:r>
            <w:r w:rsidRPr="001B2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;</w:t>
            </w:r>
          </w:p>
          <w:p w:rsidR="003E31E2" w:rsidRPr="001B2471" w:rsidRDefault="003E31E2" w:rsidP="00A82B5C">
            <w:pPr>
              <w:autoSpaceDE w:val="0"/>
              <w:autoSpaceDN w:val="0"/>
              <w:adjustRightInd w:val="0"/>
              <w:spacing w:after="0" w:line="240" w:lineRule="auto"/>
              <w:ind w:left="121" w:right="98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2.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ab/>
              <w:t xml:space="preserve">Сыртқы экономикалық қызметке қатысушылар саны </w:t>
            </w:r>
            <w:r w:rsidRPr="001B24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(бұдан әрі – СЭҚҚ)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</w:t>
            </w:r>
            <w:r w:rsidR="00A72254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br/>
            </w:r>
            <w:r w:rsidRPr="001B2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1,3 есеге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</w:t>
            </w:r>
            <w:r w:rsidRPr="001B24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(38,5-тен 50 мыңға дейін)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ұлғайды, оның ішінде жоғары тәуекелділер </w:t>
            </w:r>
            <w:r w:rsidRPr="001B2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1,6 есе</w:t>
            </w:r>
            <w:r w:rsidR="00314EBB" w:rsidRPr="001B2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ге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</w:t>
            </w:r>
            <w:r w:rsidRPr="001B2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(5,1-ден 8 мыңға дейін)</w:t>
            </w:r>
            <w:r w:rsidR="00314EBB" w:rsidRPr="001B24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</w:t>
            </w:r>
            <w:r w:rsidR="00314EBB" w:rsidRPr="001B24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ұлғайды.</w:t>
            </w:r>
          </w:p>
          <w:p w:rsidR="003E31E2" w:rsidRPr="001B2471" w:rsidRDefault="003E31E2" w:rsidP="00C367B3">
            <w:pPr>
              <w:autoSpaceDE w:val="0"/>
              <w:autoSpaceDN w:val="0"/>
              <w:adjustRightInd w:val="0"/>
              <w:spacing w:after="0" w:line="240" w:lineRule="auto"/>
              <w:ind w:left="121" w:right="98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3.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ab/>
              <w:t xml:space="preserve">Тәуекел профильдері іске қосылған ДТ 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lastRenderedPageBreak/>
              <w:t xml:space="preserve">саны </w:t>
            </w:r>
            <w:r w:rsidR="00314EBB" w:rsidRPr="001B24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2</w:t>
            </w:r>
            <w:r w:rsidR="00314EBB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есеге 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өсті </w:t>
            </w:r>
            <w:r w:rsidRPr="001B24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kk-KZ" w:eastAsia="ru-RU"/>
              </w:rPr>
              <w:t>(72,3-тен 137,9 мыңға дейін)</w:t>
            </w:r>
          </w:p>
        </w:tc>
      </w:tr>
      <w:tr w:rsidR="00F55190" w:rsidRPr="004C0C6A" w:rsidTr="00EB1CF4">
        <w:trPr>
          <w:trHeight w:val="1760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90" w:rsidRPr="001B2471" w:rsidRDefault="00314EBB" w:rsidP="00F5519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Жалпы</w:t>
            </w:r>
            <w:r w:rsidR="00F55190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кедендік 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жете </w:t>
            </w:r>
            <w:r w:rsidR="00F55190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тексеру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лер</w:t>
            </w:r>
            <w:r w:rsidR="00F55190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санына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F55190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ықт</w:t>
            </w:r>
            <w:r w:rsidR="00F55190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 бұзушылықтар</w:t>
            </w:r>
          </w:p>
          <w:p w:rsidR="00F55190" w:rsidRPr="001B2471" w:rsidRDefault="00F55190" w:rsidP="00F55190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90" w:rsidRPr="001B2471" w:rsidRDefault="00F55190" w:rsidP="00F551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Әкім-шілік деректер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90" w:rsidRPr="001B2471" w:rsidRDefault="00F55190" w:rsidP="00F551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90" w:rsidRPr="001B2471" w:rsidRDefault="00F55190" w:rsidP="00F55190">
            <w:pPr>
              <w:spacing w:after="0" w:line="240" w:lineRule="auto"/>
              <w:ind w:right="-103" w:hanging="1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5190" w:rsidRPr="001B2471" w:rsidRDefault="00F55190" w:rsidP="00F55190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90" w:rsidRPr="001B2471" w:rsidRDefault="00F55190" w:rsidP="0039711B">
            <w:pPr>
              <w:spacing w:after="0" w:line="240" w:lineRule="auto"/>
              <w:ind w:left="121" w:right="148" w:firstLine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Қол жеткізілді.</w:t>
            </w:r>
          </w:p>
          <w:p w:rsidR="00F55190" w:rsidRPr="001B2471" w:rsidRDefault="00F55190" w:rsidP="0039711B">
            <w:pPr>
              <w:spacing w:after="0" w:line="240" w:lineRule="auto"/>
              <w:ind w:left="121" w:right="148" w:firstLine="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2022 жылы тәуекелдерді басқару жүйесі тағайындаған кедендік </w:t>
            </w:r>
            <w:r w:rsidR="00314EBB"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жете 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тексерулердің тиімділігі </w:t>
            </w:r>
            <w:r w:rsidRPr="001B247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69%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="00314EBB"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ды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құрады.</w:t>
            </w:r>
          </w:p>
          <w:p w:rsidR="00F55190" w:rsidRPr="001B2471" w:rsidRDefault="00F55190" w:rsidP="0039711B">
            <w:pPr>
              <w:spacing w:after="0" w:line="240" w:lineRule="auto"/>
              <w:ind w:left="121" w:right="148" w:firstLine="2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Нәтижесінде кедендік </w:t>
            </w:r>
            <w:r w:rsidR="00314EBB"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жете 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тексерулер және олар бойынша анықталған бұзушылықтар саны өткен жылмен салыстырғанда </w:t>
            </w:r>
            <w:r w:rsidRPr="001B2471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2 есеге артты</w:t>
            </w:r>
            <w:r w:rsidRPr="001B247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F55190" w:rsidRPr="001B2471" w:rsidRDefault="00F55190" w:rsidP="00C367B3">
            <w:pPr>
              <w:spacing w:after="0" w:line="240" w:lineRule="auto"/>
              <w:ind w:left="121" w:right="148" w:firstLine="2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1B247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 xml:space="preserve">Анықтама: (2021 жылы - 10,3 мың </w:t>
            </w:r>
            <w:r w:rsidR="00314EBB" w:rsidRPr="001B247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 xml:space="preserve">жете </w:t>
            </w:r>
            <w:r w:rsidRPr="001B247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>тексеру, 2022 жылы</w:t>
            </w:r>
            <w:r w:rsidR="00314EBB" w:rsidRPr="001B247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Pr="001B247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>-</w:t>
            </w:r>
            <w:r w:rsidR="00314EBB" w:rsidRPr="001B247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Pr="001B247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>20,1 мың</w:t>
            </w:r>
            <w:r w:rsidR="00314EBB" w:rsidRPr="001B247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>,</w:t>
            </w:r>
            <w:r w:rsidRPr="001B247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="00314EBB" w:rsidRPr="001B247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 xml:space="preserve">тиісінше </w:t>
            </w:r>
            <w:r w:rsidRPr="001B247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>кеден заңнамасын бұзу</w:t>
            </w:r>
            <w:r w:rsidR="00314EBB" w:rsidRPr="001B247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>шылық</w:t>
            </w:r>
            <w:r w:rsidRPr="001B247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 xml:space="preserve"> 2021 жылы 7,6 мыңнан 2022 жылы 13,8 мыңға дейін ұлғайды). </w:t>
            </w:r>
          </w:p>
        </w:tc>
      </w:tr>
      <w:tr w:rsidR="00F55190" w:rsidRPr="001B2471" w:rsidTr="00EB1CF4">
        <w:trPr>
          <w:trHeight w:val="263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190" w:rsidRPr="001B2471" w:rsidRDefault="00F55190" w:rsidP="00F55190">
            <w:pPr>
              <w:pStyle w:val="a3"/>
              <w:keepNext/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spacing w:after="0"/>
              <w:ind w:left="33" w:right="11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Қытайдың кедендік статистикасы-мен алшақтықты қысқарту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190" w:rsidRPr="001B2471" w:rsidRDefault="00F55190" w:rsidP="00F55190">
            <w:pPr>
              <w:keepNext/>
              <w:widowControl w:val="0"/>
              <w:spacing w:after="0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 деректер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190" w:rsidRPr="001B2471" w:rsidRDefault="00F55190" w:rsidP="00F55190">
            <w:pPr>
              <w:keepNext/>
              <w:widowControl w:val="0"/>
              <w:spacing w:after="0"/>
              <w:ind w:left="141" w:right="11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90" w:rsidRPr="001B2471" w:rsidRDefault="00F55190" w:rsidP="00F55190">
            <w:pPr>
              <w:keepNext/>
              <w:widowControl w:val="0"/>
              <w:spacing w:after="0"/>
              <w:ind w:left="141" w:right="-107" w:hanging="14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5190" w:rsidRPr="001B2471" w:rsidRDefault="00F55190" w:rsidP="00F55190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32,9 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90" w:rsidRPr="001B2471" w:rsidRDefault="00F55190" w:rsidP="00DC7F15">
            <w:pPr>
              <w:spacing w:after="0" w:line="240" w:lineRule="auto"/>
              <w:ind w:left="107" w:right="1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Қол жеткізілді.</w:t>
            </w:r>
          </w:p>
          <w:p w:rsidR="00F55190" w:rsidRPr="001B2471" w:rsidRDefault="00F55190" w:rsidP="00DC7F15">
            <w:pPr>
              <w:spacing w:after="0" w:line="240" w:lineRule="auto"/>
              <w:ind w:left="107" w:right="11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1B24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2022 жылы Қазақстанның Қытаймен тауар айналымы </w:t>
            </w:r>
            <w:r w:rsidRPr="001B2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24,1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млрд. АҚШ доллары</w:t>
            </w:r>
            <w:r w:rsidR="00724598" w:rsidRPr="001B24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 құрады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яғни </w:t>
            </w:r>
            <w:r w:rsidR="00724598" w:rsidRPr="001B24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2021 жылмен салыстырғанда </w:t>
            </w:r>
            <w:r w:rsidRPr="001B2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34,1%</w:t>
            </w:r>
            <w:r w:rsidRPr="001B247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-ға өсті</w:t>
            </w:r>
            <w:r w:rsidR="00724598"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оның ішінде экспорт </w:t>
            </w:r>
            <w:r w:rsidR="00724598"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–</w:t>
            </w:r>
            <w:r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1B2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13,</w:t>
            </w:r>
            <w:r w:rsidR="00724598" w:rsidRPr="001B24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  <w:r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млрд. АҚШ доллары </w:t>
            </w:r>
            <w:r w:rsidRPr="001B247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(34,7% өсім)</w:t>
            </w:r>
            <w:r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және импорт</w:t>
            </w:r>
            <w:r w:rsidR="00724598"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– </w:t>
            </w:r>
            <w:r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  <w:r w:rsidR="00724598"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,0</w:t>
            </w:r>
            <w:r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млрд. АҚШ доллары </w:t>
            </w:r>
            <w:r w:rsidRPr="001B247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(33,5% өсім)</w:t>
            </w:r>
            <w:r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F55190" w:rsidRPr="001B2471" w:rsidRDefault="00F55190" w:rsidP="00C367B3">
            <w:pPr>
              <w:spacing w:after="0" w:line="240" w:lineRule="auto"/>
              <w:ind w:left="107" w:right="11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Бұл ретте «ҚР импорты – ҚХР экспорты» бағыты бойынша алшақтық 2021 жыл</w:t>
            </w:r>
            <w:r w:rsidR="00724598"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ғы </w:t>
            </w:r>
            <w:r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724598"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40,5%-дан 2022 жылғы 32,9%-ға дейін </w:t>
            </w:r>
            <w:r w:rsidRPr="001B247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7,6 пайыздық тармаққа төмендеді</w:t>
            </w:r>
            <w:r w:rsidRPr="001B24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724598" w:rsidRPr="001B247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Pr="001B247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алшақтық 5,4 млрд. </w:t>
            </w:r>
            <w:r w:rsidR="009C289F" w:rsidRPr="001B247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АҚШ доллары</w:t>
            </w:r>
            <w:r w:rsidR="00724598" w:rsidRPr="001B247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н құрады</w:t>
            </w:r>
            <w:r w:rsidRPr="001B247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).</w:t>
            </w:r>
          </w:p>
        </w:tc>
      </w:tr>
      <w:tr w:rsidR="00F55190" w:rsidRPr="004C0C6A" w:rsidTr="006C10E0">
        <w:trPr>
          <w:trHeight w:val="3157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190" w:rsidRPr="001B2471" w:rsidRDefault="00F55190" w:rsidP="00F5519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тұлғалардың кірістері мен шығыстарын жалпыға бірдей декларациялаумен қамту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90" w:rsidRPr="001B2471" w:rsidRDefault="00F55190" w:rsidP="003E5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Әкім-шілік дерек-тер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190" w:rsidRPr="001B2471" w:rsidRDefault="00F55190" w:rsidP="00F551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190" w:rsidRPr="001B2471" w:rsidRDefault="00F55190" w:rsidP="00F55190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3,9</w:t>
            </w:r>
          </w:p>
        </w:tc>
        <w:tc>
          <w:tcPr>
            <w:tcW w:w="8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5190" w:rsidRPr="001B2471" w:rsidRDefault="00F55190" w:rsidP="00F5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190" w:rsidRPr="001B2471" w:rsidRDefault="00F55190" w:rsidP="00DC7F15">
            <w:pPr>
              <w:pBdr>
                <w:bottom w:val="single" w:sz="4" w:space="31" w:color="FFFFFF"/>
              </w:pBdr>
              <w:spacing w:after="0" w:line="240" w:lineRule="auto"/>
              <w:ind w:left="107" w:right="1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Қол жеткізілді.</w:t>
            </w:r>
          </w:p>
          <w:p w:rsidR="00F55190" w:rsidRPr="001B2471" w:rsidRDefault="00F55190" w:rsidP="00DC7F15">
            <w:pPr>
              <w:pBdr>
                <w:bottom w:val="single" w:sz="4" w:space="31" w:color="FFFFFF"/>
              </w:pBdr>
              <w:spacing w:after="0" w:line="240" w:lineRule="auto"/>
              <w:ind w:left="107"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2022 жылы жалпыға бірдей декларациялау шеңберінде 576 872 мемлекеттік қызметшінің, оларға теңестірілген адамдардың және олардың жұбайларының кірістері мен мүлкі туралы декларация</w:t>
            </w:r>
            <w:r w:rsidR="00CC609C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алғаш рет тапсырылды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немесе декларанттардың жоспарланған санының 119%.</w:t>
            </w:r>
          </w:p>
          <w:p w:rsidR="00F55190" w:rsidRPr="001B2471" w:rsidRDefault="00F55190" w:rsidP="00DC7F15">
            <w:pPr>
              <w:pBdr>
                <w:bottom w:val="single" w:sz="4" w:space="31" w:color="FFFFFF"/>
              </w:pBdr>
              <w:spacing w:after="0" w:line="240" w:lineRule="auto"/>
              <w:ind w:left="107"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</w:p>
        </w:tc>
      </w:tr>
      <w:tr w:rsidR="00F55190" w:rsidRPr="004C0C6A" w:rsidTr="009B6779">
        <w:trPr>
          <w:trHeight w:val="416"/>
        </w:trPr>
        <w:tc>
          <w:tcPr>
            <w:tcW w:w="107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190" w:rsidRPr="001B2471" w:rsidRDefault="00F55190" w:rsidP="003D47DC">
            <w:pPr>
              <w:spacing w:after="0" w:line="240" w:lineRule="auto"/>
              <w:ind w:right="178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val="kk-KZ" w:eastAsia="ru-RU"/>
              </w:rPr>
            </w:pPr>
            <w:r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2.2-мақсат. Қолайлы бизнес орта құру және бизнес пен </w:t>
            </w:r>
            <w:r w:rsidR="003D47DC"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халық</w:t>
            </w:r>
            <w:r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үшін әкімшілік кедергілерді төмендету</w:t>
            </w:r>
          </w:p>
        </w:tc>
      </w:tr>
      <w:tr w:rsidR="00320B23" w:rsidRPr="004C0C6A" w:rsidTr="00EB1CF4">
        <w:trPr>
          <w:trHeight w:val="419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23" w:rsidRPr="001B2471" w:rsidRDefault="003D47DC" w:rsidP="0007055E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3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9" w:right="-107" w:hanging="7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Автомобиль өткізу 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пункттерінде кедендік операцияларды жүргізу уақытын қысқарту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23" w:rsidRPr="001B2471" w:rsidRDefault="00320B23" w:rsidP="00320B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Әкім-шілік 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дерек-тер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23" w:rsidRPr="001B2471" w:rsidRDefault="00320B23" w:rsidP="00320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са-ғат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B23" w:rsidRPr="001B2471" w:rsidRDefault="00320B23" w:rsidP="00320B2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 мин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0B23" w:rsidRPr="001B2471" w:rsidRDefault="00320B23" w:rsidP="00320B2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34 </w:t>
            </w:r>
          </w:p>
          <w:p w:rsidR="00320B23" w:rsidRPr="001B2471" w:rsidRDefault="00320B23" w:rsidP="00320B2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23" w:rsidRPr="001B2471" w:rsidRDefault="00320B23" w:rsidP="0039711B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ind w:left="91" w:right="96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Қол жеткізілді.</w:t>
            </w:r>
          </w:p>
          <w:p w:rsidR="00320B23" w:rsidRPr="001B2471" w:rsidRDefault="003E7053" w:rsidP="003E7053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ind w:left="91" w:right="9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Елдің көлік-транзиттік әлеуетін арттыру 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lastRenderedPageBreak/>
              <w:t>және Қазақстан Республикасының аумағы арқылы транзиттік ағындарды ұлғайту мақсатында Министрлік ЕАЭО - ның сыртқы шекарасында өткізу пункттерін (9 авто, 1 т/ж және 1 бас диспетчерлік басқарма (бұдан әрі-БДБ) құру және реконструкциялау жолымен кедендік инфрақұрылымды жаңғырту бойынша жұмыс жүргізуде.</w:t>
            </w:r>
          </w:p>
          <w:p w:rsidR="003E7053" w:rsidRPr="001B2471" w:rsidRDefault="003E7053" w:rsidP="003E7053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ind w:left="91" w:right="9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Жобалық-сметалық құжаттамалардың «Мемсараптама» РМК оң қорытындылары алынған жерді қоспағанда, осы өткізу пункттеріне (әрбір объектіні қайта жаңарту мерзімі 19 айды құрайды).</w:t>
            </w:r>
          </w:p>
          <w:p w:rsidR="003E7053" w:rsidRPr="001B2471" w:rsidRDefault="003E7053" w:rsidP="003E7053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ind w:left="91" w:right="9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2022 жылғы 1 шілдеден бастап «Достық-автомобиль», «Достық – теміржол» өткізу пункттерінде және 2022 жылғы 1 желтоқсаннан бастап «Қапланбек» өткізу пунктінде құрылыс - монтаждау жұмыстары жүргізілуде.</w:t>
            </w:r>
          </w:p>
          <w:p w:rsidR="003E7053" w:rsidRPr="001B2471" w:rsidRDefault="003E7053" w:rsidP="003E7053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ind w:left="91" w:right="9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2023 жылғы 9 қаңтардан бастап «Бақты», «Қазығұрт</w:t>
            </w:r>
            <w:r w:rsidR="00347344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»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, </w:t>
            </w:r>
            <w:r w:rsidR="00347344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«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Атамекен</w:t>
            </w:r>
            <w:r w:rsidR="00347344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»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, </w:t>
            </w:r>
            <w:r w:rsidR="00347344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«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Тәжен</w:t>
            </w:r>
            <w:r w:rsidR="00347344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»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және </w:t>
            </w:r>
            <w:r w:rsidR="00347344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«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Темір баба</w:t>
            </w:r>
            <w:r w:rsidR="00347344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»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объектілерінде техника мен жұмыс күшін жұмылдыру, контейнерлер орнату және аумақты қоршау, уақытша электр қуатын қосу жұмыстары жүргізілуде, ғимараттар мен құрылыстарды бөлшектеу жұмыстары басталды.</w:t>
            </w:r>
          </w:p>
          <w:p w:rsidR="003E7053" w:rsidRPr="001B2471" w:rsidRDefault="00347344" w:rsidP="003E7053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ind w:left="91" w:right="9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«</w:t>
            </w:r>
            <w:r w:rsidR="003E7053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Майқапшағай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»</w:t>
            </w:r>
            <w:r w:rsidR="003E7053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, 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«</w:t>
            </w:r>
            <w:r w:rsidR="003E7053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Қалжат</w:t>
            </w: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»</w:t>
            </w:r>
            <w:r w:rsidR="003E7053"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объектілері бойынша 2023 жылы техникалық қадағалау жеткізушісін айқындау бойынша жұмыстар жүргізілетін болады.</w:t>
            </w:r>
          </w:p>
          <w:p w:rsidR="003E7053" w:rsidRPr="001B2471" w:rsidRDefault="003E7053" w:rsidP="003E7053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ind w:left="91" w:right="9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2023 жылы жобалау компаниясы ГДУ объектісі бойынша техникалық-экономикалық негіздеме мен жобалау-сметалық құжаттаманы әзірлейтін болады.</w:t>
            </w:r>
          </w:p>
          <w:p w:rsidR="003E7053" w:rsidRPr="001B2471" w:rsidRDefault="003E7053" w:rsidP="003E7053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ind w:left="91" w:right="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247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Осы бастамаларды іске асыру 2024 жылы өткізу қабілетін 8 есеге дейін арттыруға, өту уақытын 2 есеге қысқартуға және бюджетке түсетін түсімдерді ұлғайтуға мүмкіндік береді.</w:t>
            </w:r>
          </w:p>
        </w:tc>
      </w:tr>
      <w:tr w:rsidR="00B71296" w:rsidRPr="004C0C6A" w:rsidTr="00EB1CF4">
        <w:trPr>
          <w:trHeight w:val="416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96" w:rsidRPr="001B2471" w:rsidRDefault="00B71296" w:rsidP="00B71296">
            <w:pPr>
              <w:pStyle w:val="a3"/>
              <w:numPr>
                <w:ilvl w:val="0"/>
                <w:numId w:val="9"/>
              </w:numPr>
              <w:tabs>
                <w:tab w:val="left" w:pos="382"/>
                <w:tab w:val="left" w:pos="459"/>
              </w:tabs>
              <w:spacing w:after="0" w:line="240" w:lineRule="auto"/>
              <w:ind w:left="33" w:right="-107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Оңалту, банкроттық 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рәсімдерін жүргізу барысында  кредиторлар-дың талаптарын қанағаттандыру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96" w:rsidRPr="001B2471" w:rsidRDefault="00B71296" w:rsidP="00B71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Әкімшілік 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деректер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96" w:rsidRPr="001B2471" w:rsidRDefault="00B71296" w:rsidP="00B71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1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296" w:rsidRPr="001B2471" w:rsidRDefault="00B71296" w:rsidP="00B71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3,5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1296" w:rsidRPr="001B2471" w:rsidRDefault="00B71296" w:rsidP="00B712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3,9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96" w:rsidRPr="001B2471" w:rsidRDefault="00B71296" w:rsidP="00B71296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ind w:left="104" w:right="154" w:hanging="1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 жеткізілді.</w:t>
            </w:r>
          </w:p>
          <w:p w:rsidR="00B71296" w:rsidRPr="001B2471" w:rsidRDefault="003D47DC" w:rsidP="00B71296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ind w:left="104" w:right="154" w:hanging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жылы к</w:t>
            </w:r>
            <w:r w:rsidR="00B71296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редиторлар талаптарының </w:t>
            </w:r>
            <w:r w:rsidR="00B71296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жалпы сомасы </w:t>
            </w:r>
            <w:r w:rsidR="00B71296"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1 122,2 млрд. теңгені</w:t>
            </w:r>
            <w:r w:rsidR="00B71296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құрады, оның </w:t>
            </w:r>
            <w:r w:rsidR="00B71296"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43,4</w:t>
            </w:r>
            <w:r w:rsidR="00B71296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71296"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млрд.теңгесі</w:t>
            </w:r>
            <w:r w:rsidR="00B71296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өтелді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B71296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B71296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септі кезеңде </w:t>
            </w:r>
            <w:r w:rsidR="00B71296"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64</w:t>
            </w:r>
            <w:r w:rsidR="00B71296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борышкер оңалту рәсімін аяқтады, олардың кредиторлық берешегі </w:t>
            </w:r>
            <w:r w:rsidR="00B71296"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71,1 млрд. теңгені</w:t>
            </w:r>
            <w:r w:rsidR="00B71296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құрады, оның </w:t>
            </w:r>
            <w:r w:rsidR="00B71296"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12,6 млрд. теңгесі </w:t>
            </w:r>
            <w:r w:rsidR="00B71296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өтелді. Банкроттық рәсімін аяқтаған борышкерлер саны 2022 жылы кредиторлық берешек сомасы </w:t>
            </w:r>
            <w:r w:rsidR="007D053C"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1 051,3 млрд. теңге </w:t>
            </w:r>
            <w:r w:rsidR="007D053C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болатын</w:t>
            </w:r>
            <w:r w:rsidR="007D053C"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71296"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1 455</w:t>
            </w:r>
            <w:r w:rsidR="00B71296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құрады</w:t>
            </w:r>
            <w:r w:rsidR="007D053C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B71296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оның ішінде </w:t>
            </w:r>
            <w:r w:rsidR="00B71296" w:rsidRPr="001B24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30,7</w:t>
            </w:r>
            <w:r w:rsidR="00B71296" w:rsidRPr="001B24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млрд. теңге өтелді.</w:t>
            </w:r>
          </w:p>
          <w:p w:rsidR="00B71296" w:rsidRPr="004C0C6A" w:rsidRDefault="00B71296" w:rsidP="00B71296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ind w:left="104" w:right="154" w:hanging="1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7296E" w:rsidRPr="00EE3E8A" w:rsidRDefault="00A7296E" w:rsidP="00A729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7296E" w:rsidRPr="00EE3E8A" w:rsidRDefault="00A7296E" w:rsidP="00FD6F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sectPr w:rsidR="00A7296E" w:rsidRPr="00EE3E8A" w:rsidSect="008A35B7">
      <w:headerReference w:type="default" r:id="rId8"/>
      <w:footerReference w:type="default" r:id="rId9"/>
      <w:pgSz w:w="11906" w:h="16838"/>
      <w:pgMar w:top="1418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2E" w:rsidRDefault="00D8772E" w:rsidP="00951EAE">
      <w:pPr>
        <w:spacing w:after="0" w:line="240" w:lineRule="auto"/>
      </w:pPr>
      <w:r>
        <w:separator/>
      </w:r>
    </w:p>
  </w:endnote>
  <w:endnote w:type="continuationSeparator" w:id="0">
    <w:p w:rsidR="00D8772E" w:rsidRDefault="00D8772E" w:rsidP="0095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3C5" w:rsidRDefault="00F803C5">
    <w:pPr>
      <w:pStyle w:val="ae"/>
      <w:jc w:val="right"/>
    </w:pPr>
  </w:p>
  <w:p w:rsidR="00F803C5" w:rsidRDefault="00F803C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2E" w:rsidRDefault="00D8772E" w:rsidP="00951EAE">
      <w:pPr>
        <w:spacing w:after="0" w:line="240" w:lineRule="auto"/>
      </w:pPr>
      <w:r>
        <w:separator/>
      </w:r>
    </w:p>
  </w:footnote>
  <w:footnote w:type="continuationSeparator" w:id="0">
    <w:p w:rsidR="00D8772E" w:rsidRDefault="00D8772E" w:rsidP="0095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0444"/>
      <w:docPartObj>
        <w:docPartGallery w:val="Page Numbers (Top of Page)"/>
        <w:docPartUnique/>
      </w:docPartObj>
    </w:sdtPr>
    <w:sdtEndPr/>
    <w:sdtContent>
      <w:p w:rsidR="00F803C5" w:rsidRDefault="00F803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C6A">
          <w:rPr>
            <w:noProof/>
          </w:rPr>
          <w:t>2</w:t>
        </w:r>
        <w:r>
          <w:fldChar w:fldCharType="end"/>
        </w:r>
      </w:p>
    </w:sdtContent>
  </w:sdt>
  <w:p w:rsidR="00F803C5" w:rsidRDefault="00F803C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75F"/>
    <w:multiLevelType w:val="hybridMultilevel"/>
    <w:tmpl w:val="659C95B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55AF"/>
    <w:multiLevelType w:val="hybridMultilevel"/>
    <w:tmpl w:val="9636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3C05"/>
    <w:multiLevelType w:val="hybridMultilevel"/>
    <w:tmpl w:val="F1BE86AE"/>
    <w:lvl w:ilvl="0" w:tplc="AC8616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80130"/>
    <w:multiLevelType w:val="hybridMultilevel"/>
    <w:tmpl w:val="C232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47004"/>
    <w:multiLevelType w:val="hybridMultilevel"/>
    <w:tmpl w:val="6302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51D48"/>
    <w:multiLevelType w:val="multilevel"/>
    <w:tmpl w:val="2EB896D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8E2731D"/>
    <w:multiLevelType w:val="hybridMultilevel"/>
    <w:tmpl w:val="0BBEC686"/>
    <w:lvl w:ilvl="0" w:tplc="5AB43D9C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0B0E3B7F"/>
    <w:multiLevelType w:val="hybridMultilevel"/>
    <w:tmpl w:val="CAE6657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67E9"/>
    <w:multiLevelType w:val="hybridMultilevel"/>
    <w:tmpl w:val="8536EA9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52D1F77"/>
    <w:multiLevelType w:val="hybridMultilevel"/>
    <w:tmpl w:val="916699D4"/>
    <w:lvl w:ilvl="0" w:tplc="03CAA0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D8C48CC"/>
    <w:multiLevelType w:val="hybridMultilevel"/>
    <w:tmpl w:val="3472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D3C6A"/>
    <w:multiLevelType w:val="hybridMultilevel"/>
    <w:tmpl w:val="C1F6A78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6D735F"/>
    <w:multiLevelType w:val="hybridMultilevel"/>
    <w:tmpl w:val="2FD2E38E"/>
    <w:lvl w:ilvl="0" w:tplc="FC782A32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302B274E"/>
    <w:multiLevelType w:val="hybridMultilevel"/>
    <w:tmpl w:val="F164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72D11"/>
    <w:multiLevelType w:val="hybridMultilevel"/>
    <w:tmpl w:val="5A5E3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762FE"/>
    <w:multiLevelType w:val="hybridMultilevel"/>
    <w:tmpl w:val="AE1C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90B40"/>
    <w:multiLevelType w:val="hybridMultilevel"/>
    <w:tmpl w:val="ED56A1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4233A"/>
    <w:multiLevelType w:val="hybridMultilevel"/>
    <w:tmpl w:val="3EA6E5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5"/>
  </w:num>
  <w:num w:numId="8">
    <w:abstractNumId w:val="10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  <w:num w:numId="15">
    <w:abstractNumId w:val="17"/>
  </w:num>
  <w:num w:numId="16">
    <w:abstractNumId w:val="12"/>
  </w:num>
  <w:num w:numId="1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78"/>
    <w:rsid w:val="0002241A"/>
    <w:rsid w:val="00033E9B"/>
    <w:rsid w:val="00037B75"/>
    <w:rsid w:val="00037E04"/>
    <w:rsid w:val="0004177C"/>
    <w:rsid w:val="00043179"/>
    <w:rsid w:val="000675B1"/>
    <w:rsid w:val="0007055E"/>
    <w:rsid w:val="0007799F"/>
    <w:rsid w:val="00081567"/>
    <w:rsid w:val="000819C3"/>
    <w:rsid w:val="00085DAD"/>
    <w:rsid w:val="00093CFF"/>
    <w:rsid w:val="0009724D"/>
    <w:rsid w:val="000A1CFC"/>
    <w:rsid w:val="000A4301"/>
    <w:rsid w:val="000B7ED1"/>
    <w:rsid w:val="000C0A39"/>
    <w:rsid w:val="000D033A"/>
    <w:rsid w:val="000E0FA7"/>
    <w:rsid w:val="000E1E37"/>
    <w:rsid w:val="000E221F"/>
    <w:rsid w:val="000E51A6"/>
    <w:rsid w:val="000F1541"/>
    <w:rsid w:val="000F36FE"/>
    <w:rsid w:val="0010173F"/>
    <w:rsid w:val="00115BE1"/>
    <w:rsid w:val="00117A8E"/>
    <w:rsid w:val="00122F22"/>
    <w:rsid w:val="00130EAE"/>
    <w:rsid w:val="00153EA7"/>
    <w:rsid w:val="00154534"/>
    <w:rsid w:val="00165B41"/>
    <w:rsid w:val="00196762"/>
    <w:rsid w:val="001B15CC"/>
    <w:rsid w:val="001B2471"/>
    <w:rsid w:val="001B5910"/>
    <w:rsid w:val="001C52FE"/>
    <w:rsid w:val="001D1445"/>
    <w:rsid w:val="001D7EDC"/>
    <w:rsid w:val="001E5B22"/>
    <w:rsid w:val="0021602C"/>
    <w:rsid w:val="002327C6"/>
    <w:rsid w:val="00233E6A"/>
    <w:rsid w:val="00243081"/>
    <w:rsid w:val="00247DCE"/>
    <w:rsid w:val="00270421"/>
    <w:rsid w:val="002744A3"/>
    <w:rsid w:val="00285121"/>
    <w:rsid w:val="00297910"/>
    <w:rsid w:val="002A1D47"/>
    <w:rsid w:val="002A23CC"/>
    <w:rsid w:val="002A40F1"/>
    <w:rsid w:val="002A79D5"/>
    <w:rsid w:val="002A7BBC"/>
    <w:rsid w:val="002A7F74"/>
    <w:rsid w:val="002B72E2"/>
    <w:rsid w:val="002C23E4"/>
    <w:rsid w:val="002C5F89"/>
    <w:rsid w:val="002D2BA1"/>
    <w:rsid w:val="002F073D"/>
    <w:rsid w:val="002F4D71"/>
    <w:rsid w:val="00312407"/>
    <w:rsid w:val="00314C82"/>
    <w:rsid w:val="00314EBB"/>
    <w:rsid w:val="00320B23"/>
    <w:rsid w:val="0032589B"/>
    <w:rsid w:val="00341A4E"/>
    <w:rsid w:val="00344619"/>
    <w:rsid w:val="00347344"/>
    <w:rsid w:val="003538CE"/>
    <w:rsid w:val="003556DF"/>
    <w:rsid w:val="0036215B"/>
    <w:rsid w:val="0036304A"/>
    <w:rsid w:val="003668E6"/>
    <w:rsid w:val="00370803"/>
    <w:rsid w:val="00373D5F"/>
    <w:rsid w:val="00375BAD"/>
    <w:rsid w:val="00377171"/>
    <w:rsid w:val="003803BB"/>
    <w:rsid w:val="00383589"/>
    <w:rsid w:val="0039711B"/>
    <w:rsid w:val="003A6B3E"/>
    <w:rsid w:val="003B06C6"/>
    <w:rsid w:val="003B35F1"/>
    <w:rsid w:val="003C6916"/>
    <w:rsid w:val="003D3203"/>
    <w:rsid w:val="003D47DC"/>
    <w:rsid w:val="003D4837"/>
    <w:rsid w:val="003D7A08"/>
    <w:rsid w:val="003E31E2"/>
    <w:rsid w:val="003E3642"/>
    <w:rsid w:val="003E5DB5"/>
    <w:rsid w:val="003E6E4C"/>
    <w:rsid w:val="003E7053"/>
    <w:rsid w:val="00411EF6"/>
    <w:rsid w:val="00414D92"/>
    <w:rsid w:val="004159D9"/>
    <w:rsid w:val="004304C9"/>
    <w:rsid w:val="00443A79"/>
    <w:rsid w:val="00457A4A"/>
    <w:rsid w:val="0046488B"/>
    <w:rsid w:val="00471B82"/>
    <w:rsid w:val="00473FB5"/>
    <w:rsid w:val="00476405"/>
    <w:rsid w:val="00476EE7"/>
    <w:rsid w:val="004817E5"/>
    <w:rsid w:val="00484124"/>
    <w:rsid w:val="00486A94"/>
    <w:rsid w:val="004914EA"/>
    <w:rsid w:val="004B4ED0"/>
    <w:rsid w:val="004C0C6A"/>
    <w:rsid w:val="004D0FDB"/>
    <w:rsid w:val="004D4D6B"/>
    <w:rsid w:val="004E57D3"/>
    <w:rsid w:val="004E7E88"/>
    <w:rsid w:val="005172BF"/>
    <w:rsid w:val="00522694"/>
    <w:rsid w:val="00525B93"/>
    <w:rsid w:val="00541284"/>
    <w:rsid w:val="005708B5"/>
    <w:rsid w:val="00571F5F"/>
    <w:rsid w:val="00571FCC"/>
    <w:rsid w:val="00593570"/>
    <w:rsid w:val="005A39EB"/>
    <w:rsid w:val="005C386D"/>
    <w:rsid w:val="005C7ACD"/>
    <w:rsid w:val="005E101F"/>
    <w:rsid w:val="005E6C2B"/>
    <w:rsid w:val="00600820"/>
    <w:rsid w:val="00614DA7"/>
    <w:rsid w:val="00645116"/>
    <w:rsid w:val="006469F2"/>
    <w:rsid w:val="00653F3F"/>
    <w:rsid w:val="00667C22"/>
    <w:rsid w:val="00673EAD"/>
    <w:rsid w:val="00675DA9"/>
    <w:rsid w:val="006771F6"/>
    <w:rsid w:val="006803ED"/>
    <w:rsid w:val="00695E6D"/>
    <w:rsid w:val="006B38E9"/>
    <w:rsid w:val="006C10E0"/>
    <w:rsid w:val="006C3D0E"/>
    <w:rsid w:val="006E54A8"/>
    <w:rsid w:val="006F432F"/>
    <w:rsid w:val="006F6298"/>
    <w:rsid w:val="00714AEF"/>
    <w:rsid w:val="00715ED2"/>
    <w:rsid w:val="00724598"/>
    <w:rsid w:val="00725025"/>
    <w:rsid w:val="00732C99"/>
    <w:rsid w:val="00740764"/>
    <w:rsid w:val="00746684"/>
    <w:rsid w:val="00747C79"/>
    <w:rsid w:val="0075672B"/>
    <w:rsid w:val="00763BB7"/>
    <w:rsid w:val="00763EFA"/>
    <w:rsid w:val="007652B0"/>
    <w:rsid w:val="00766EA9"/>
    <w:rsid w:val="007705E4"/>
    <w:rsid w:val="0077192E"/>
    <w:rsid w:val="00772170"/>
    <w:rsid w:val="00777AD6"/>
    <w:rsid w:val="007814DF"/>
    <w:rsid w:val="007A72CD"/>
    <w:rsid w:val="007B06CC"/>
    <w:rsid w:val="007C282D"/>
    <w:rsid w:val="007C3C82"/>
    <w:rsid w:val="007D053C"/>
    <w:rsid w:val="007E7B75"/>
    <w:rsid w:val="007F351C"/>
    <w:rsid w:val="0080011A"/>
    <w:rsid w:val="00816205"/>
    <w:rsid w:val="00820603"/>
    <w:rsid w:val="00822E5C"/>
    <w:rsid w:val="008230D3"/>
    <w:rsid w:val="008425DD"/>
    <w:rsid w:val="008948F2"/>
    <w:rsid w:val="00897EF3"/>
    <w:rsid w:val="008A35B7"/>
    <w:rsid w:val="008C546B"/>
    <w:rsid w:val="008D5042"/>
    <w:rsid w:val="0090204F"/>
    <w:rsid w:val="00902B84"/>
    <w:rsid w:val="009278E1"/>
    <w:rsid w:val="00931C31"/>
    <w:rsid w:val="00934145"/>
    <w:rsid w:val="00940020"/>
    <w:rsid w:val="00941E3B"/>
    <w:rsid w:val="00942CD7"/>
    <w:rsid w:val="00943A0F"/>
    <w:rsid w:val="00951EAE"/>
    <w:rsid w:val="00957F37"/>
    <w:rsid w:val="00976102"/>
    <w:rsid w:val="00977176"/>
    <w:rsid w:val="0099689F"/>
    <w:rsid w:val="009A27A2"/>
    <w:rsid w:val="009A30C4"/>
    <w:rsid w:val="009A7355"/>
    <w:rsid w:val="009B6779"/>
    <w:rsid w:val="009C289F"/>
    <w:rsid w:val="009D5398"/>
    <w:rsid w:val="009D7B21"/>
    <w:rsid w:val="009E2D40"/>
    <w:rsid w:val="009F176F"/>
    <w:rsid w:val="00A042E3"/>
    <w:rsid w:val="00A04F87"/>
    <w:rsid w:val="00A10C28"/>
    <w:rsid w:val="00A1224B"/>
    <w:rsid w:val="00A21894"/>
    <w:rsid w:val="00A26217"/>
    <w:rsid w:val="00A30FE1"/>
    <w:rsid w:val="00A36A8A"/>
    <w:rsid w:val="00A51DFA"/>
    <w:rsid w:val="00A638FC"/>
    <w:rsid w:val="00A656B1"/>
    <w:rsid w:val="00A71000"/>
    <w:rsid w:val="00A71314"/>
    <w:rsid w:val="00A72254"/>
    <w:rsid w:val="00A7296E"/>
    <w:rsid w:val="00A74141"/>
    <w:rsid w:val="00A77FCC"/>
    <w:rsid w:val="00A82B5C"/>
    <w:rsid w:val="00A837AC"/>
    <w:rsid w:val="00A95D3C"/>
    <w:rsid w:val="00AE020B"/>
    <w:rsid w:val="00AE6427"/>
    <w:rsid w:val="00AF2DB4"/>
    <w:rsid w:val="00AF4C61"/>
    <w:rsid w:val="00AF572F"/>
    <w:rsid w:val="00B2187C"/>
    <w:rsid w:val="00B27F8D"/>
    <w:rsid w:val="00B32BFA"/>
    <w:rsid w:val="00B43266"/>
    <w:rsid w:val="00B71296"/>
    <w:rsid w:val="00B8329F"/>
    <w:rsid w:val="00B83A33"/>
    <w:rsid w:val="00B869C8"/>
    <w:rsid w:val="00B87DD9"/>
    <w:rsid w:val="00B92F40"/>
    <w:rsid w:val="00B931D6"/>
    <w:rsid w:val="00B93495"/>
    <w:rsid w:val="00B96D7B"/>
    <w:rsid w:val="00BA01C9"/>
    <w:rsid w:val="00BA4C77"/>
    <w:rsid w:val="00BB4632"/>
    <w:rsid w:val="00BB686F"/>
    <w:rsid w:val="00BB7E76"/>
    <w:rsid w:val="00BC0805"/>
    <w:rsid w:val="00BD4CB0"/>
    <w:rsid w:val="00BF2423"/>
    <w:rsid w:val="00C01CDA"/>
    <w:rsid w:val="00C069D9"/>
    <w:rsid w:val="00C20F48"/>
    <w:rsid w:val="00C21170"/>
    <w:rsid w:val="00C231F0"/>
    <w:rsid w:val="00C2344D"/>
    <w:rsid w:val="00C32000"/>
    <w:rsid w:val="00C334AC"/>
    <w:rsid w:val="00C366FF"/>
    <w:rsid w:val="00C367B3"/>
    <w:rsid w:val="00C40815"/>
    <w:rsid w:val="00C4521D"/>
    <w:rsid w:val="00C62E70"/>
    <w:rsid w:val="00C63337"/>
    <w:rsid w:val="00C64966"/>
    <w:rsid w:val="00C7015C"/>
    <w:rsid w:val="00C718A0"/>
    <w:rsid w:val="00C8425B"/>
    <w:rsid w:val="00C85BE7"/>
    <w:rsid w:val="00C94AA0"/>
    <w:rsid w:val="00CA0DD2"/>
    <w:rsid w:val="00CA36A9"/>
    <w:rsid w:val="00CC0138"/>
    <w:rsid w:val="00CC609C"/>
    <w:rsid w:val="00CD1AD8"/>
    <w:rsid w:val="00CD6B98"/>
    <w:rsid w:val="00CE4AD9"/>
    <w:rsid w:val="00CE726B"/>
    <w:rsid w:val="00CF313B"/>
    <w:rsid w:val="00D020C5"/>
    <w:rsid w:val="00D17C6F"/>
    <w:rsid w:val="00D310E6"/>
    <w:rsid w:val="00D33CF2"/>
    <w:rsid w:val="00D63C0A"/>
    <w:rsid w:val="00D7427A"/>
    <w:rsid w:val="00D8099A"/>
    <w:rsid w:val="00D825D5"/>
    <w:rsid w:val="00D8394D"/>
    <w:rsid w:val="00D85A95"/>
    <w:rsid w:val="00D86215"/>
    <w:rsid w:val="00D86C60"/>
    <w:rsid w:val="00D8772E"/>
    <w:rsid w:val="00DA62FF"/>
    <w:rsid w:val="00DB517A"/>
    <w:rsid w:val="00DC0E7A"/>
    <w:rsid w:val="00DC6120"/>
    <w:rsid w:val="00DC63E9"/>
    <w:rsid w:val="00DC795F"/>
    <w:rsid w:val="00DC7F15"/>
    <w:rsid w:val="00DD2A44"/>
    <w:rsid w:val="00DD3A09"/>
    <w:rsid w:val="00DE6F96"/>
    <w:rsid w:val="00E17963"/>
    <w:rsid w:val="00E22302"/>
    <w:rsid w:val="00E26134"/>
    <w:rsid w:val="00E30819"/>
    <w:rsid w:val="00E51D9C"/>
    <w:rsid w:val="00E559DB"/>
    <w:rsid w:val="00E613A3"/>
    <w:rsid w:val="00E63F76"/>
    <w:rsid w:val="00E759FF"/>
    <w:rsid w:val="00E76565"/>
    <w:rsid w:val="00E80D5F"/>
    <w:rsid w:val="00E81CB0"/>
    <w:rsid w:val="00E940D9"/>
    <w:rsid w:val="00EA3A47"/>
    <w:rsid w:val="00EA6256"/>
    <w:rsid w:val="00EB05B1"/>
    <w:rsid w:val="00EB0B5B"/>
    <w:rsid w:val="00EB1CF4"/>
    <w:rsid w:val="00EE3E8A"/>
    <w:rsid w:val="00EF59C5"/>
    <w:rsid w:val="00F02F0A"/>
    <w:rsid w:val="00F04E78"/>
    <w:rsid w:val="00F054A2"/>
    <w:rsid w:val="00F06679"/>
    <w:rsid w:val="00F06D4E"/>
    <w:rsid w:val="00F12FFE"/>
    <w:rsid w:val="00F17FAD"/>
    <w:rsid w:val="00F21E53"/>
    <w:rsid w:val="00F26E68"/>
    <w:rsid w:val="00F30406"/>
    <w:rsid w:val="00F32190"/>
    <w:rsid w:val="00F36910"/>
    <w:rsid w:val="00F40C56"/>
    <w:rsid w:val="00F4654D"/>
    <w:rsid w:val="00F55190"/>
    <w:rsid w:val="00F632EE"/>
    <w:rsid w:val="00F65140"/>
    <w:rsid w:val="00F7577B"/>
    <w:rsid w:val="00F803C5"/>
    <w:rsid w:val="00F90177"/>
    <w:rsid w:val="00F973EC"/>
    <w:rsid w:val="00FA1DB2"/>
    <w:rsid w:val="00FB5A94"/>
    <w:rsid w:val="00FC27D5"/>
    <w:rsid w:val="00FD2769"/>
    <w:rsid w:val="00FD69F3"/>
    <w:rsid w:val="00FD6FD4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97A5"/>
  <w15:docId w15:val="{6DF31617-D322-4713-AB86-48B1D385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E81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BL List Paragraph,Bullet1,маркированный,Абзац списка1,ненум_список,References,NUMBERED PARAGRAPH,List Paragraph 1,Bullets,List_Paragraph,Multilevel para_II,Akapit z listą BS,List Paragraph (numbered (a)),Heading1,Bullet List,FooterText"/>
    <w:basedOn w:val="a"/>
    <w:link w:val="a4"/>
    <w:uiPriority w:val="34"/>
    <w:qFormat/>
    <w:rsid w:val="00E81C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81CB0"/>
    <w:rPr>
      <w:rFonts w:ascii="Times New Roman" w:eastAsia="Times New Roman" w:hAnsi="Times New Roman" w:cs="Times New Roman"/>
      <w:b/>
      <w:bCs/>
      <w:sz w:val="27"/>
      <w:szCs w:val="27"/>
      <w:lang w:val="x-none"/>
    </w:rPr>
  </w:style>
  <w:style w:type="character" w:styleId="a5">
    <w:name w:val="Hyperlink"/>
    <w:basedOn w:val="a0"/>
    <w:uiPriority w:val="99"/>
    <w:unhideWhenUsed/>
    <w:rsid w:val="00E81CB0"/>
    <w:rPr>
      <w:color w:val="0000FF"/>
      <w:u w:val="single"/>
    </w:rPr>
  </w:style>
  <w:style w:type="character" w:customStyle="1" w:styleId="21">
    <w:name w:val="Обычный (веб) Знак2"/>
    <w:aliases w:val="Обычный (веб) Знак1 Знак1,Обычный (веб) Знак Знак Знак Знак,Обычный (веб) Знак1 Знак Знак Знак Знак,Обычный (веб) Знак Знак,Обычный (веб) Знак1 Знак Знак,Обычный (веб) Знак Знак Знак Знак Знак Знак,З Знак"/>
    <w:link w:val="a6"/>
    <w:uiPriority w:val="99"/>
    <w:qFormat/>
    <w:locked/>
    <w:rsid w:val="00E81CB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веб) Знак1,Обычный (веб) Знак Знак Знак,Обычный (веб) Знак1 Знак Знак Знак,Обычный (веб) Знак,Обычный (веб) Знак1 Знак,Обычный (веб) Знак Знак Знак Знак Знак,Обычный (веб) Знак Знак Знак Знак Знак  Знак,З"/>
    <w:basedOn w:val="a"/>
    <w:link w:val="21"/>
    <w:uiPriority w:val="99"/>
    <w:unhideWhenUsed/>
    <w:qFormat/>
    <w:rsid w:val="00E8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Medium Grid 2 Знак,Обя Знак,мелкий Знак,норма Знак,No Spacing1 Знак,мой рабочий Знак,Дастан1 Знак,Средняя сетка 21 Знак,свой Знак,14 TNR Знак,Без интервала11 Знак,МОЙ СТИЛЬ Знак,Елжан Знак,Без интеБез интервала Знак,Без интерваль Знак"/>
    <w:link w:val="a8"/>
    <w:uiPriority w:val="1"/>
    <w:qFormat/>
    <w:locked/>
    <w:rsid w:val="00E81CB0"/>
    <w:rPr>
      <w:rFonts w:ascii="Calibri" w:eastAsia="Times New Roman" w:hAnsi="Calibri" w:cs="Times New Roman"/>
    </w:rPr>
  </w:style>
  <w:style w:type="paragraph" w:styleId="a8">
    <w:name w:val="No Spacing"/>
    <w:aliases w:val="Medium Grid 2,Обя,мелкий,норма,No Spacing1,мой рабочий,Дастан1,Средняя сетка 21,свой,14 TNR,Без интервала11,МОЙ СТИЛЬ,Елжан,Без интеБез интервала,Без интервала111,Без интервала21,Без интерваль,No Spacing12,Алия,Айгерим,No Spacing"/>
    <w:link w:val="a7"/>
    <w:qFormat/>
    <w:rsid w:val="00E81C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IBL List Paragraph Знак,Bullet1 Знак,маркированный Знак,Абзац списка1 Знак,ненум_список Знак,References Знак,NUMBERED PARAGRAPH Знак,List Paragraph 1 Знак,Bullets Знак,List_Paragraph Знак,Multilevel para_II Знак,Akapit z listą BS Знак"/>
    <w:link w:val="a3"/>
    <w:uiPriority w:val="99"/>
    <w:qFormat/>
    <w:locked/>
    <w:rsid w:val="00E81CB0"/>
  </w:style>
  <w:style w:type="paragraph" w:customStyle="1" w:styleId="a9">
    <w:name w:val="Без интервала Знак Знак Знак Знак Знак Знак Знак"/>
    <w:qFormat/>
    <w:rsid w:val="00E81C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">
    <w:name w:val="Default Знак"/>
    <w:link w:val="Default0"/>
    <w:locked/>
    <w:rsid w:val="00E81CB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link w:val="Default"/>
    <w:qFormat/>
    <w:rsid w:val="00E81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E81CB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85D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b">
    <w:name w:val="Emphasis"/>
    <w:basedOn w:val="a0"/>
    <w:uiPriority w:val="20"/>
    <w:qFormat/>
    <w:rsid w:val="00081567"/>
    <w:rPr>
      <w:i/>
      <w:iCs/>
    </w:rPr>
  </w:style>
  <w:style w:type="paragraph" w:styleId="ac">
    <w:name w:val="header"/>
    <w:basedOn w:val="a"/>
    <w:link w:val="ad"/>
    <w:uiPriority w:val="99"/>
    <w:unhideWhenUsed/>
    <w:rsid w:val="0095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1EAE"/>
  </w:style>
  <w:style w:type="paragraph" w:styleId="ae">
    <w:name w:val="footer"/>
    <w:basedOn w:val="a"/>
    <w:link w:val="af"/>
    <w:uiPriority w:val="99"/>
    <w:unhideWhenUsed/>
    <w:rsid w:val="0095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1EAE"/>
  </w:style>
  <w:style w:type="numbering" w:customStyle="1" w:styleId="1">
    <w:name w:val="Нет списка1"/>
    <w:next w:val="a2"/>
    <w:uiPriority w:val="99"/>
    <w:semiHidden/>
    <w:unhideWhenUsed/>
    <w:rsid w:val="00A26217"/>
  </w:style>
  <w:style w:type="paragraph" w:styleId="af0">
    <w:name w:val="Body Text Indent"/>
    <w:basedOn w:val="a"/>
    <w:link w:val="af1"/>
    <w:unhideWhenUsed/>
    <w:rsid w:val="00A2621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qFormat/>
    <w:rsid w:val="00A26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ез итервала"/>
    <w:basedOn w:val="a8"/>
    <w:qFormat/>
    <w:rsid w:val="00A26217"/>
    <w:rPr>
      <w:rFonts w:ascii="Times New Roman" w:eastAsia="Consolas" w:hAnsi="Times New Roman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C64966"/>
  </w:style>
  <w:style w:type="table" w:customStyle="1" w:styleId="10">
    <w:name w:val="Сетка таблицы1"/>
    <w:basedOn w:val="a1"/>
    <w:next w:val="af3"/>
    <w:rsid w:val="00C6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Айгерим Char"/>
    <w:basedOn w:val="a0"/>
    <w:locked/>
    <w:rsid w:val="00C64966"/>
    <w:rPr>
      <w:rFonts w:ascii="Calibri" w:eastAsia="Calibri" w:hAnsi="Calibri" w:cs="Times New Roman"/>
      <w:lang w:eastAsia="ru-RU"/>
    </w:rPr>
  </w:style>
  <w:style w:type="paragraph" w:customStyle="1" w:styleId="11">
    <w:name w:val="Текст выноски1"/>
    <w:basedOn w:val="a"/>
    <w:next w:val="af4"/>
    <w:link w:val="af5"/>
    <w:uiPriority w:val="99"/>
    <w:semiHidden/>
    <w:unhideWhenUsed/>
    <w:rsid w:val="00C6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11"/>
    <w:uiPriority w:val="99"/>
    <w:semiHidden/>
    <w:rsid w:val="00C64966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39"/>
    <w:rsid w:val="00C6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12"/>
    <w:uiPriority w:val="99"/>
    <w:semiHidden/>
    <w:unhideWhenUsed/>
    <w:rsid w:val="00C6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4"/>
    <w:uiPriority w:val="99"/>
    <w:semiHidden/>
    <w:rsid w:val="00C64966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43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3A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4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6CDC-812E-47FC-9BAC-6CFD6823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Ташен Жанат Орынтайұлы</cp:lastModifiedBy>
  <cp:revision>6</cp:revision>
  <cp:lastPrinted>2021-02-12T13:05:00Z</cp:lastPrinted>
  <dcterms:created xsi:type="dcterms:W3CDTF">2023-04-25T09:12:00Z</dcterms:created>
  <dcterms:modified xsi:type="dcterms:W3CDTF">2023-04-26T05:41:00Z</dcterms:modified>
</cp:coreProperties>
</file>