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B6" w:rsidRDefault="007478B6" w:rsidP="007478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B6">
        <w:rPr>
          <w:rFonts w:ascii="Times New Roman" w:hAnsi="Times New Roman" w:cs="Times New Roman"/>
          <w:b/>
          <w:sz w:val="28"/>
          <w:szCs w:val="28"/>
        </w:rPr>
        <w:t>Памятка по выписке дополнительного счета-фактуры</w:t>
      </w:r>
    </w:p>
    <w:p w:rsidR="007478B6" w:rsidRDefault="007478B6" w:rsidP="003351A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64" w:rsidRDefault="003C5664" w:rsidP="00335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При выписке дополнительного счета-фактуры на возврат товаров для начала необходимо заполнить поля" номер системы учета"," дата совершения оборота". После этого необходимо ввести данные по основному счету-фактуре, а именно "регистрационный номер", "номер учетной системы" и "дата выпуска основного счета-фактуры". Затем заполните обязательные для заполнения разделы. Из других ERP-систем (1С и др. б.) в случае импорта счетов-фактур необходимо учитывать следующее исключение: правильный дополнительный счет – фактура для возврата-соответствие данных в основном и дополнительном счетах-фактурах (могут отличаться только данные раздела А: "номера учетных систем", "даты выпуска "и" даты обращения " и </w:t>
      </w:r>
      <w:proofErr w:type="gramStart"/>
      <w:r w:rsidRPr="003C5664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и G, которые влияют на размер оборота Данные раздела H). Соответственно, все остальные разделы должны быть идентичны основным ЭСФ. </w:t>
      </w:r>
      <w:r w:rsidRPr="003C5664">
        <w:rPr>
          <w:rFonts w:ascii="Times New Roman" w:hAnsi="Times New Roman" w:cs="Times New Roman"/>
          <w:sz w:val="28"/>
          <w:szCs w:val="28"/>
        </w:rPr>
        <w:t></w:t>
      </w:r>
    </w:p>
    <w:p w:rsidR="003C5664" w:rsidRDefault="003C5664" w:rsidP="00335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В случае разницы между основным и дополнительным ЭСФ статус ЭСФ изменяется на "неправильный" с ошибкой "дополнительные и основные счета сильно отличаются от разрешенных правил", примером которой является основной счет, в котором мы </w:t>
      </w:r>
      <w:r>
        <w:rPr>
          <w:rFonts w:ascii="Times New Roman" w:hAnsi="Times New Roman" w:cs="Times New Roman"/>
          <w:sz w:val="28"/>
          <w:szCs w:val="28"/>
          <w:lang w:val="kk-KZ"/>
        </w:rPr>
        <w:t>вы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писываем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дополнительный счет</w:t>
      </w:r>
      <w:r w:rsidRPr="003C5664">
        <w:rPr>
          <w:rFonts w:ascii="Times New Roman" w:hAnsi="Times New Roman" w:cs="Times New Roman"/>
          <w:sz w:val="28"/>
          <w:szCs w:val="28"/>
        </w:rPr>
        <w:t>-фактуры</w:t>
      </w:r>
      <w:r w:rsidRPr="003C56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1. основной счет-фактура</w:t>
      </w:r>
      <w:r w:rsidRPr="003C56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5664">
        <w:rPr>
          <w:rFonts w:ascii="Times New Roman" w:hAnsi="Times New Roman" w:cs="Times New Roman"/>
          <w:sz w:val="28"/>
          <w:szCs w:val="28"/>
        </w:rPr>
        <w:t>2.копия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дополнительного счета-фактуры. В соответствии с примером основного счета-фактуры мы напишем дополнительный счет-фактуру для возврата товаров. Из 5 разрешенных позиций в основном счете-фактуре возвращаем 10 штук. Телефоны моделей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5 и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5s. Также важно отметить, что даже если не все позиции участвуют в возврате, эти позиции должны оставаться в самом счете. То есть количество позиций в основном и дополнительном счетах должно совпадать. Скриншот дополнительного счета-фактуры: как видно из примеров: при написании дополнительного счета-фактуры указываем его количество с отрицательным значением, а именно: -10 к положениям телефонов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5 и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5s. показал 0 (ноль) для всех других позиций, не участвующих в возврате. Остальные поля (в частности, "стоимость товаров, работ, услуг без косвенных налогов" и "стоимость товаров, работ, услуг без косвенных налогов" и т. д.) остаются неизменными.</w:t>
      </w:r>
    </w:p>
    <w:p w:rsidR="003C5664" w:rsidRDefault="003C5664" w:rsidP="00335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02"/>
    <w:rsid w:val="003351AF"/>
    <w:rsid w:val="003C5664"/>
    <w:rsid w:val="007478B6"/>
    <w:rsid w:val="00EF1B02"/>
    <w:rsid w:val="00F04CBB"/>
    <w:rsid w:val="00F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4B8A"/>
  <w15:docId w15:val="{3D9226F3-448A-4A73-81D9-CA201CF7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2023-07-11T11:32:00Z</dcterms:created>
  <dcterms:modified xsi:type="dcterms:W3CDTF">2023-07-14T18:03:00Z</dcterms:modified>
</cp:coreProperties>
</file>