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87" w:rsidRPr="00924427" w:rsidRDefault="00D24387" w:rsidP="00D243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24427">
        <w:rPr>
          <w:rFonts w:ascii="Times New Roman" w:hAnsi="Times New Roman" w:cs="Times New Roman"/>
          <w:b/>
          <w:sz w:val="28"/>
          <w:szCs w:val="28"/>
          <w:lang w:val="en-US"/>
        </w:rPr>
        <w:t>Виртуалды</w:t>
      </w:r>
      <w:proofErr w:type="spellEnd"/>
      <w:r w:rsidRPr="009244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24427">
        <w:rPr>
          <w:rFonts w:ascii="Times New Roman" w:hAnsi="Times New Roman" w:cs="Times New Roman"/>
          <w:b/>
          <w:sz w:val="28"/>
          <w:szCs w:val="28"/>
          <w:lang w:val="en-US"/>
        </w:rPr>
        <w:t>қоймада</w:t>
      </w:r>
      <w:proofErr w:type="spellEnd"/>
      <w:r w:rsidRPr="009244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24427">
        <w:rPr>
          <w:rFonts w:ascii="Times New Roman" w:hAnsi="Times New Roman" w:cs="Times New Roman"/>
          <w:b/>
          <w:sz w:val="28"/>
          <w:szCs w:val="28"/>
          <w:lang w:val="en-US"/>
        </w:rPr>
        <w:t>жүргізілмейтін</w:t>
      </w:r>
      <w:proofErr w:type="spellEnd"/>
      <w:r w:rsidRPr="009244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24427">
        <w:rPr>
          <w:rFonts w:ascii="Times New Roman" w:hAnsi="Times New Roman" w:cs="Times New Roman"/>
          <w:b/>
          <w:sz w:val="28"/>
          <w:szCs w:val="28"/>
          <w:lang w:val="en-US"/>
        </w:rPr>
        <w:t>тауарлар</w:t>
      </w:r>
      <w:proofErr w:type="spellEnd"/>
      <w:r w:rsidRPr="009244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24427">
        <w:rPr>
          <w:rFonts w:ascii="Times New Roman" w:hAnsi="Times New Roman" w:cs="Times New Roman"/>
          <w:b/>
          <w:sz w:val="28"/>
          <w:szCs w:val="28"/>
          <w:lang w:val="en-US"/>
        </w:rPr>
        <w:t>бойынша</w:t>
      </w:r>
      <w:proofErr w:type="spellEnd"/>
      <w:r w:rsidRPr="009244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ТІЖ </w:t>
      </w:r>
      <w:proofErr w:type="spellStart"/>
      <w:r w:rsidRPr="00924427">
        <w:rPr>
          <w:rFonts w:ascii="Times New Roman" w:hAnsi="Times New Roman" w:cs="Times New Roman"/>
          <w:b/>
          <w:sz w:val="28"/>
          <w:szCs w:val="28"/>
          <w:lang w:val="en-US"/>
        </w:rPr>
        <w:t>ресімдеу</w:t>
      </w:r>
      <w:proofErr w:type="spellEnd"/>
      <w:r w:rsidRPr="0092442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24387" w:rsidRDefault="00D24387" w:rsidP="00D243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Виртуалды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қоймада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бұдан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әрі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- ӘК) </w:t>
      </w: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жүргізілетін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тауарлардың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тізбесі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ТІЖ </w:t>
      </w: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ресімдеу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жөніндегі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қағидаларда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айқындалған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Сондай-ақ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ӘК </w:t>
      </w: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тауарды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жүргізу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белгісін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ЭШФ АЖ </w:t>
      </w: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порталында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"Г</w:t>
      </w:r>
      <w:r>
        <w:rPr>
          <w:rFonts w:ascii="Times New Roman" w:hAnsi="Times New Roman" w:cs="Times New Roman"/>
          <w:sz w:val="28"/>
          <w:szCs w:val="28"/>
        </w:rPr>
        <w:t>СВС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>" "</w:t>
      </w: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анықтамалықтар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D24387">
        <w:rPr>
          <w:rFonts w:ascii="Times New Roman" w:hAnsi="Times New Roman" w:cs="Times New Roman"/>
          <w:sz w:val="28"/>
          <w:szCs w:val="28"/>
          <w:lang w:val="en-US"/>
        </w:rPr>
        <w:t>бө</w:t>
      </w:r>
      <w:r w:rsidR="00D738EA">
        <w:rPr>
          <w:rFonts w:ascii="Times New Roman" w:hAnsi="Times New Roman" w:cs="Times New Roman"/>
          <w:sz w:val="28"/>
          <w:szCs w:val="28"/>
          <w:lang w:val="en-US"/>
        </w:rPr>
        <w:t>лімінде</w:t>
      </w:r>
      <w:proofErr w:type="spellEnd"/>
      <w:r w:rsidR="00D73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38EA">
        <w:rPr>
          <w:rFonts w:ascii="Times New Roman" w:hAnsi="Times New Roman" w:cs="Times New Roman"/>
          <w:sz w:val="28"/>
          <w:szCs w:val="28"/>
          <w:lang w:val="en-US"/>
        </w:rPr>
        <w:t>көруге</w:t>
      </w:r>
      <w:proofErr w:type="spellEnd"/>
      <w:r w:rsidR="00D73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38EA">
        <w:rPr>
          <w:rFonts w:ascii="Times New Roman" w:hAnsi="Times New Roman" w:cs="Times New Roman"/>
          <w:sz w:val="28"/>
          <w:szCs w:val="28"/>
          <w:lang w:val="en-US"/>
        </w:rPr>
        <w:t>болады</w:t>
      </w:r>
      <w:proofErr w:type="spellEnd"/>
      <w:r w:rsidR="00D738EA">
        <w:rPr>
          <w:rFonts w:ascii="Times New Roman" w:hAnsi="Times New Roman" w:cs="Times New Roman"/>
          <w:sz w:val="28"/>
          <w:szCs w:val="28"/>
          <w:lang w:val="en-US"/>
        </w:rPr>
        <w:t xml:space="preserve"> (1-сурет).</w:t>
      </w:r>
    </w:p>
    <w:p w:rsidR="00D738EA" w:rsidRDefault="00D738EA" w:rsidP="00317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0357" w:rsidRPr="00D24387" w:rsidRDefault="00D24387" w:rsidP="00317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387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D24387">
        <w:rPr>
          <w:rFonts w:ascii="Times New Roman" w:hAnsi="Times New Roman" w:cs="Times New Roman"/>
          <w:sz w:val="28"/>
          <w:szCs w:val="28"/>
        </w:rPr>
        <w:t>ӘК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сүзгісіндегі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ашылған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терезеде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тауарды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мәнін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таңдап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>, "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батырмасын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басыңыз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Экранның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төменгі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бөлігінде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387">
        <w:rPr>
          <w:rFonts w:ascii="Times New Roman" w:hAnsi="Times New Roman" w:cs="Times New Roman"/>
          <w:sz w:val="28"/>
          <w:szCs w:val="28"/>
        </w:rPr>
        <w:t>ӘК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24387">
        <w:rPr>
          <w:rFonts w:ascii="Times New Roman" w:hAnsi="Times New Roman" w:cs="Times New Roman"/>
          <w:sz w:val="28"/>
          <w:szCs w:val="28"/>
        </w:rPr>
        <w:t>де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жүргізілмейтін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387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D24387">
        <w:rPr>
          <w:rFonts w:ascii="Times New Roman" w:hAnsi="Times New Roman" w:cs="Times New Roman"/>
          <w:sz w:val="28"/>
          <w:szCs w:val="28"/>
        </w:rPr>
        <w:t>ЭҚ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387">
        <w:rPr>
          <w:rFonts w:ascii="Times New Roman" w:hAnsi="Times New Roman" w:cs="Times New Roman"/>
          <w:sz w:val="28"/>
          <w:szCs w:val="28"/>
        </w:rPr>
        <w:t>ТНВЭД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кодтарының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387">
        <w:rPr>
          <w:rFonts w:ascii="Times New Roman" w:hAnsi="Times New Roman" w:cs="Times New Roman"/>
          <w:sz w:val="28"/>
          <w:szCs w:val="28"/>
        </w:rPr>
        <w:t>СЭҚТН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387">
        <w:rPr>
          <w:rFonts w:ascii="Times New Roman" w:hAnsi="Times New Roman" w:cs="Times New Roman"/>
          <w:sz w:val="28"/>
          <w:szCs w:val="28"/>
        </w:rPr>
        <w:t>коды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іздеуді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асыруға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(2-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="00D738E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738EA" w:rsidRPr="00924427" w:rsidRDefault="00D738EA" w:rsidP="00D243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4387" w:rsidRPr="00627737" w:rsidRDefault="00D24387" w:rsidP="0062773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7737">
        <w:rPr>
          <w:rFonts w:ascii="Times New Roman" w:hAnsi="Times New Roman" w:cs="Times New Roman"/>
          <w:b/>
          <w:sz w:val="28"/>
          <w:szCs w:val="28"/>
        </w:rPr>
        <w:t>ТІЖ</w:t>
      </w:r>
      <w:r w:rsidRPr="006277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27737">
        <w:rPr>
          <w:rFonts w:ascii="Times New Roman" w:hAnsi="Times New Roman" w:cs="Times New Roman"/>
          <w:b/>
          <w:sz w:val="28"/>
          <w:szCs w:val="28"/>
        </w:rPr>
        <w:t>ресімдеу</w:t>
      </w:r>
      <w:proofErr w:type="spellEnd"/>
    </w:p>
    <w:p w:rsidR="00D24387" w:rsidRPr="00D24387" w:rsidRDefault="00D24387" w:rsidP="00D243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Ұшақта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жүргізілмейтін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387">
        <w:rPr>
          <w:rFonts w:ascii="Times New Roman" w:hAnsi="Times New Roman" w:cs="Times New Roman"/>
          <w:sz w:val="28"/>
          <w:szCs w:val="28"/>
        </w:rPr>
        <w:t>ТІЖ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ресімдеу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387">
        <w:rPr>
          <w:rFonts w:ascii="Times New Roman" w:hAnsi="Times New Roman" w:cs="Times New Roman"/>
          <w:sz w:val="28"/>
          <w:szCs w:val="28"/>
        </w:rPr>
        <w:t>ТІЖ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қолжетімді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24387" w:rsidRPr="00D24387" w:rsidRDefault="00D24387" w:rsidP="00D243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24387">
        <w:rPr>
          <w:rFonts w:ascii="Times New Roman" w:hAnsi="Times New Roman" w:cs="Times New Roman"/>
          <w:sz w:val="28"/>
          <w:szCs w:val="28"/>
        </w:rPr>
        <w:t>ҚР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асыруға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24387" w:rsidRPr="00D24387" w:rsidRDefault="00D24387" w:rsidP="00D243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24387">
        <w:rPr>
          <w:rFonts w:ascii="Times New Roman" w:hAnsi="Times New Roman" w:cs="Times New Roman"/>
          <w:sz w:val="28"/>
          <w:szCs w:val="28"/>
        </w:rPr>
        <w:t>ҚР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аумағынан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әкетуге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387">
        <w:rPr>
          <w:rFonts w:ascii="Times New Roman" w:hAnsi="Times New Roman" w:cs="Times New Roman"/>
          <w:sz w:val="28"/>
          <w:szCs w:val="28"/>
        </w:rPr>
        <w:t>ТІЖ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4387" w:rsidRPr="00D24387" w:rsidRDefault="00D24387" w:rsidP="00D243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387">
        <w:rPr>
          <w:rFonts w:ascii="Times New Roman" w:hAnsi="Times New Roman" w:cs="Times New Roman"/>
          <w:sz w:val="28"/>
          <w:szCs w:val="28"/>
        </w:rPr>
        <w:t>ӘК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24387">
        <w:rPr>
          <w:rFonts w:ascii="Times New Roman" w:hAnsi="Times New Roman" w:cs="Times New Roman"/>
          <w:sz w:val="28"/>
          <w:szCs w:val="28"/>
        </w:rPr>
        <w:t>де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жүргізілмейтін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387">
        <w:rPr>
          <w:rFonts w:ascii="Times New Roman" w:hAnsi="Times New Roman" w:cs="Times New Roman"/>
          <w:sz w:val="28"/>
          <w:szCs w:val="28"/>
        </w:rPr>
        <w:t>ТІЖ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ресімдеу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387">
        <w:rPr>
          <w:rFonts w:ascii="Times New Roman" w:hAnsi="Times New Roman" w:cs="Times New Roman"/>
          <w:sz w:val="28"/>
          <w:szCs w:val="28"/>
        </w:rPr>
        <w:t>ЭШФ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387">
        <w:rPr>
          <w:rFonts w:ascii="Times New Roman" w:hAnsi="Times New Roman" w:cs="Times New Roman"/>
          <w:sz w:val="28"/>
          <w:szCs w:val="28"/>
        </w:rPr>
        <w:t>АЖ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387">
        <w:rPr>
          <w:rFonts w:ascii="Times New Roman" w:hAnsi="Times New Roman" w:cs="Times New Roman"/>
          <w:sz w:val="28"/>
          <w:szCs w:val="28"/>
        </w:rPr>
        <w:t>ТІЖ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387">
        <w:rPr>
          <w:rFonts w:ascii="Times New Roman" w:hAnsi="Times New Roman" w:cs="Times New Roman"/>
          <w:sz w:val="28"/>
          <w:szCs w:val="28"/>
        </w:rPr>
        <w:t>ТІЖ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журналында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батырмасын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387">
        <w:rPr>
          <w:rFonts w:ascii="Times New Roman" w:hAnsi="Times New Roman" w:cs="Times New Roman"/>
          <w:sz w:val="28"/>
          <w:szCs w:val="28"/>
        </w:rPr>
        <w:t>басу</w:t>
      </w:r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24387" w:rsidRDefault="00D24387" w:rsidP="00D24387">
      <w:pPr>
        <w:jc w:val="both"/>
        <w:rPr>
          <w:rFonts w:ascii="Times New Roman" w:hAnsi="Times New Roman" w:cs="Times New Roman"/>
          <w:sz w:val="28"/>
          <w:szCs w:val="28"/>
        </w:rPr>
      </w:pPr>
      <w:r w:rsidRPr="00D24387">
        <w:rPr>
          <w:rFonts w:ascii="Times New Roman" w:hAnsi="Times New Roman" w:cs="Times New Roman"/>
          <w:sz w:val="28"/>
          <w:szCs w:val="28"/>
        </w:rPr>
        <w:t xml:space="preserve">ТІЖ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элект</w:t>
      </w:r>
      <w:r w:rsidR="00D738EA">
        <w:rPr>
          <w:rFonts w:ascii="Times New Roman" w:hAnsi="Times New Roman" w:cs="Times New Roman"/>
          <w:sz w:val="28"/>
          <w:szCs w:val="28"/>
        </w:rPr>
        <w:t>рондық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(3-сурет).</w:t>
      </w:r>
    </w:p>
    <w:p w:rsidR="00D738EA" w:rsidRDefault="00D738EA" w:rsidP="00D24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387" w:rsidRPr="00D24387" w:rsidRDefault="00D24387" w:rsidP="00D24387">
      <w:pPr>
        <w:jc w:val="both"/>
        <w:rPr>
          <w:rFonts w:ascii="Times New Roman" w:hAnsi="Times New Roman" w:cs="Times New Roman"/>
          <w:sz w:val="28"/>
          <w:szCs w:val="28"/>
        </w:rPr>
      </w:pPr>
      <w:r w:rsidRPr="00D24387">
        <w:rPr>
          <w:rFonts w:ascii="Times New Roman" w:hAnsi="Times New Roman" w:cs="Times New Roman"/>
          <w:sz w:val="28"/>
          <w:szCs w:val="28"/>
        </w:rPr>
        <w:t xml:space="preserve">А-D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бөлімдері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ӘК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тауарларымен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ТІЖ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толтырылады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. E-F1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бөлімдері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толтырылады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>.</w:t>
      </w:r>
    </w:p>
    <w:p w:rsidR="00D24387" w:rsidRPr="00D24387" w:rsidRDefault="00D24387" w:rsidP="00D243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деректер"G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бөлімін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>.</w:t>
      </w:r>
    </w:p>
    <w:p w:rsidR="00E80683" w:rsidRDefault="00D24387" w:rsidP="00D738EA">
      <w:pPr>
        <w:jc w:val="both"/>
        <w:rPr>
          <w:rFonts w:ascii="Times New Roman" w:hAnsi="Times New Roman" w:cs="Times New Roman"/>
          <w:sz w:val="28"/>
          <w:szCs w:val="28"/>
        </w:rPr>
      </w:pPr>
      <w:r w:rsidRPr="00D2438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" G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ӘК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тауарды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қосу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"ӘК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тауарды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Қосу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батырмасын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басу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(4-сурет).</w:t>
      </w:r>
    </w:p>
    <w:p w:rsidR="00BF0433" w:rsidRDefault="00BF0433" w:rsidP="00BF0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387" w:rsidRDefault="00D24387" w:rsidP="00BF0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ГСВС</w:t>
      </w:r>
      <w:r w:rsidR="00D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анықтамалығы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(5-сурет)</w:t>
      </w:r>
    </w:p>
    <w:p w:rsidR="00D24387" w:rsidRDefault="00D24387" w:rsidP="00BF04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СЭҚТН коды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тауарды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іздеуді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тізімнен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(6-сурет).</w:t>
      </w:r>
    </w:p>
    <w:p w:rsidR="00BF0433" w:rsidRDefault="00BF0433" w:rsidP="00BF0433">
      <w:pPr>
        <w:rPr>
          <w:rFonts w:ascii="Times New Roman" w:hAnsi="Times New Roman" w:cs="Times New Roman"/>
          <w:sz w:val="28"/>
          <w:szCs w:val="28"/>
        </w:rPr>
      </w:pPr>
    </w:p>
    <w:p w:rsidR="00D24387" w:rsidRDefault="00D24387" w:rsidP="00083D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387">
        <w:rPr>
          <w:rFonts w:ascii="Times New Roman" w:hAnsi="Times New Roman" w:cs="Times New Roman"/>
          <w:sz w:val="28"/>
          <w:szCs w:val="28"/>
        </w:rPr>
        <w:lastRenderedPageBreak/>
        <w:t>Тауарды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таңдағаннан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" G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"СЭҚТН коды"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"ЭШФ АЖ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тауардың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бірегей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сәйкестендіргіші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автома</w:t>
      </w:r>
      <w:r w:rsidR="00D738EA">
        <w:rPr>
          <w:rFonts w:ascii="Times New Roman" w:hAnsi="Times New Roman" w:cs="Times New Roman"/>
          <w:sz w:val="28"/>
          <w:szCs w:val="28"/>
        </w:rPr>
        <w:t>тты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толтырылады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(7-сурет).</w:t>
      </w:r>
    </w:p>
    <w:p w:rsidR="00083DF9" w:rsidRDefault="00083DF9" w:rsidP="00083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387" w:rsidRDefault="00D24387" w:rsidP="00D738EA">
      <w:pPr>
        <w:rPr>
          <w:rFonts w:ascii="Times New Roman" w:hAnsi="Times New Roman" w:cs="Times New Roman"/>
          <w:sz w:val="28"/>
          <w:szCs w:val="28"/>
        </w:rPr>
      </w:pPr>
      <w:r w:rsidRPr="00D24387">
        <w:rPr>
          <w:rFonts w:ascii="Times New Roman" w:hAnsi="Times New Roman" w:cs="Times New Roman"/>
          <w:sz w:val="28"/>
          <w:szCs w:val="28"/>
        </w:rPr>
        <w:t>ЭШФ АЖ-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дағы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тауардың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бірегей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сәйкестендіргіші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"1</w:t>
      </w:r>
      <w:r w:rsidR="00D738E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мәнімен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толтырылады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(8-сурет).</w:t>
      </w:r>
    </w:p>
    <w:p w:rsidR="00E80683" w:rsidRDefault="00E80683" w:rsidP="00E8068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4387" w:rsidRPr="00D24387" w:rsidRDefault="00D24387" w:rsidP="00D243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ФЛК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" G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>.</w:t>
      </w:r>
    </w:p>
    <w:p w:rsidR="00D24387" w:rsidRDefault="00D24387" w:rsidP="00D243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87">
        <w:rPr>
          <w:rFonts w:ascii="Times New Roman" w:hAnsi="Times New Roman" w:cs="Times New Roman"/>
          <w:sz w:val="28"/>
          <w:szCs w:val="28"/>
        </w:rPr>
        <w:t xml:space="preserve">ҚР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ТІЖ-де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ТІЖ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ресімдеу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ӘК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қалдықтарынан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тауардың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>.</w:t>
      </w:r>
      <w:r w:rsidRPr="00D24387"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қалдықтардан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ТІЖ-де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көрсетілмесе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"ТІЖ-де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виртуалды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қойманың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, ӘК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д</w:t>
      </w:r>
      <w:r w:rsidR="00D738EA">
        <w:rPr>
          <w:rFonts w:ascii="Times New Roman" w:hAnsi="Times New Roman" w:cs="Times New Roman"/>
          <w:sz w:val="28"/>
          <w:szCs w:val="28"/>
        </w:rPr>
        <w:t>еген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(9-сурет).</w:t>
      </w:r>
    </w:p>
    <w:p w:rsidR="00D24387" w:rsidRDefault="00D24387" w:rsidP="00D738EA">
      <w:pPr>
        <w:rPr>
          <w:rFonts w:ascii="Times New Roman" w:hAnsi="Times New Roman" w:cs="Times New Roman"/>
          <w:sz w:val="28"/>
          <w:szCs w:val="28"/>
        </w:rPr>
      </w:pPr>
      <w:r w:rsidRPr="00D24387">
        <w:rPr>
          <w:rFonts w:ascii="Times New Roman" w:hAnsi="Times New Roman" w:cs="Times New Roman"/>
          <w:sz w:val="28"/>
          <w:szCs w:val="28"/>
        </w:rPr>
        <w:t xml:space="preserve">ӘК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тауарын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қоймадан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тауарды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батырм</w:t>
      </w:r>
      <w:r w:rsidR="00D738EA">
        <w:rPr>
          <w:rFonts w:ascii="Times New Roman" w:hAnsi="Times New Roman" w:cs="Times New Roman"/>
          <w:sz w:val="28"/>
          <w:szCs w:val="28"/>
        </w:rPr>
        <w:t>асын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(10-сурет).</w:t>
      </w:r>
    </w:p>
    <w:p w:rsidR="006F205F" w:rsidRDefault="006F205F" w:rsidP="00D738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4387" w:rsidRDefault="00D24387" w:rsidP="00D738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Тауарды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"ӘК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бар </w:t>
      </w:r>
      <w:r>
        <w:rPr>
          <w:rFonts w:ascii="Times New Roman" w:hAnsi="Times New Roman" w:cs="Times New Roman"/>
          <w:sz w:val="28"/>
          <w:szCs w:val="28"/>
        </w:rPr>
        <w:t>ГСВС</w:t>
      </w:r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анықтамалығынан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таңдауға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, СЭҚ ТНВЭД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кодында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"ӘК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жүргізу"белгісі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. "ӘК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тауарды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қоймадан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Қосу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батырмасын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8EA">
        <w:rPr>
          <w:rFonts w:ascii="Times New Roman" w:hAnsi="Times New Roman" w:cs="Times New Roman"/>
          <w:sz w:val="28"/>
          <w:szCs w:val="28"/>
        </w:rPr>
        <w:t>басыңыз</w:t>
      </w:r>
      <w:proofErr w:type="spellEnd"/>
      <w:r w:rsidR="00D738EA">
        <w:rPr>
          <w:rFonts w:ascii="Times New Roman" w:hAnsi="Times New Roman" w:cs="Times New Roman"/>
          <w:sz w:val="28"/>
          <w:szCs w:val="28"/>
        </w:rPr>
        <w:t xml:space="preserve"> (11-сурет).</w:t>
      </w:r>
    </w:p>
    <w:p w:rsidR="006F205F" w:rsidRDefault="006F205F" w:rsidP="006F20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4387" w:rsidRPr="00D24387" w:rsidRDefault="00D24387" w:rsidP="00D243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87">
        <w:rPr>
          <w:rFonts w:ascii="Times New Roman" w:hAnsi="Times New Roman" w:cs="Times New Roman"/>
          <w:sz w:val="28"/>
          <w:szCs w:val="28"/>
        </w:rPr>
        <w:t xml:space="preserve">ҚР-дан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әкетуге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ТІЖ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ресімдеу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ТІЖ ӘК-де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жүргізілмейтін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қамтуы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Қалдықтардан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тауарлардың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>.</w:t>
      </w:r>
    </w:p>
    <w:p w:rsidR="00D24387" w:rsidRPr="00D24387" w:rsidRDefault="00D24387" w:rsidP="00D243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87">
        <w:rPr>
          <w:rFonts w:ascii="Times New Roman" w:hAnsi="Times New Roman" w:cs="Times New Roman"/>
          <w:sz w:val="28"/>
          <w:szCs w:val="28"/>
        </w:rPr>
        <w:t xml:space="preserve">ӘК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тауарлармен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ТІЖ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ресімдеу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жүргізілмейді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ТІЖ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расталғаннан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ӘК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қалдықтары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түспейді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>.</w:t>
      </w:r>
      <w:r w:rsidRPr="00D24387">
        <w:t xml:space="preserve"> </w:t>
      </w:r>
      <w:r w:rsidRPr="00D24387">
        <w:rPr>
          <w:rFonts w:ascii="Times New Roman" w:hAnsi="Times New Roman" w:cs="Times New Roman"/>
          <w:sz w:val="28"/>
          <w:szCs w:val="28"/>
        </w:rPr>
        <w:t xml:space="preserve">ТІЖ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ТІЖ-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ЭЦҚ-мен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>.</w:t>
      </w:r>
    </w:p>
    <w:p w:rsidR="00D24387" w:rsidRDefault="00D24387" w:rsidP="00D243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ТІЖ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ӘК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тауарларымен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ЭШФ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жазып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87">
        <w:rPr>
          <w:rFonts w:ascii="Times New Roman" w:hAnsi="Times New Roman" w:cs="Times New Roman"/>
          <w:sz w:val="28"/>
          <w:szCs w:val="28"/>
        </w:rPr>
        <w:t>берілмейді</w:t>
      </w:r>
      <w:proofErr w:type="spellEnd"/>
      <w:r w:rsidRPr="00D24387">
        <w:rPr>
          <w:rFonts w:ascii="Times New Roman" w:hAnsi="Times New Roman" w:cs="Times New Roman"/>
          <w:sz w:val="28"/>
          <w:szCs w:val="28"/>
        </w:rPr>
        <w:t>.</w:t>
      </w:r>
    </w:p>
    <w:p w:rsidR="001E5077" w:rsidRDefault="001E5077" w:rsidP="001E5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8EA" w:rsidRDefault="00D738EA" w:rsidP="001E5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8EA" w:rsidRDefault="00D738EA" w:rsidP="00D738E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431826C" wp14:editId="6A654B17">
            <wp:extent cx="5940425" cy="58985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9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EA" w:rsidRPr="00D24387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D738EA" w:rsidRDefault="00D738EA" w:rsidP="00D738E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16BAB1" wp14:editId="6704F895">
            <wp:extent cx="5940425" cy="15640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EA" w:rsidRPr="00D24387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D738EA" w:rsidRDefault="00D738EA" w:rsidP="00D738E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952D3D3" wp14:editId="69950A49">
            <wp:extent cx="5940425" cy="367601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EA" w:rsidRPr="00D24387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D738EA" w:rsidRDefault="00D738EA" w:rsidP="00D738E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B0A123" wp14:editId="7C22AE21">
            <wp:extent cx="5940425" cy="6737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EA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CB23A4" wp14:editId="1B2334E7">
            <wp:extent cx="4667250" cy="1400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EA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D738EA" w:rsidRDefault="00D738EA" w:rsidP="00D738EA">
      <w:pPr>
        <w:ind w:firstLine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8C52C3B" wp14:editId="6F3EBF7A">
            <wp:extent cx="5940425" cy="264731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EA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D738EA" w:rsidRDefault="00D738EA" w:rsidP="00D738E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EE9C767" wp14:editId="29939947">
            <wp:extent cx="5940425" cy="2663825"/>
            <wp:effectExtent l="0" t="0" r="317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EA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D738EA" w:rsidRDefault="00D738EA" w:rsidP="00D738E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7CF444F" wp14:editId="357C30D7">
            <wp:extent cx="5940425" cy="103314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EA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D738EA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7FD0EDD" wp14:editId="022FFC72">
            <wp:extent cx="1083733" cy="1467555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52941"/>
                    <a:stretch/>
                  </pic:blipFill>
                  <pic:spPr bwMode="auto">
                    <a:xfrm>
                      <a:off x="0" y="0"/>
                      <a:ext cx="1088616" cy="1474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8EA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Сурет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D738EA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A6A480D" wp14:editId="5A5B09E8">
            <wp:extent cx="3314700" cy="1285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EA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D738EA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38EA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C9393E8" wp14:editId="749E1022">
            <wp:extent cx="2895600" cy="1447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EA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D738EA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8038B6A" wp14:editId="4B084AEE">
            <wp:extent cx="3114675" cy="13049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EA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D24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</w:p>
    <w:p w:rsidR="00D738EA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38EA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38EA" w:rsidRDefault="00D738EA" w:rsidP="00D738E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38EA" w:rsidRDefault="00D738EA" w:rsidP="00D738E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38EA" w:rsidRDefault="00D738EA" w:rsidP="00D738E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38EA" w:rsidRPr="00D24387" w:rsidRDefault="00D738EA" w:rsidP="00D738EA">
      <w:pPr>
        <w:ind w:firstLine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38EA" w:rsidRPr="00BF0433" w:rsidRDefault="00D738EA" w:rsidP="00D738E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D738EA" w:rsidRPr="00BF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323E"/>
    <w:multiLevelType w:val="hybridMultilevel"/>
    <w:tmpl w:val="5B1CA472"/>
    <w:lvl w:ilvl="0" w:tplc="782C92C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EC"/>
    <w:rsid w:val="00083DF9"/>
    <w:rsid w:val="001434A4"/>
    <w:rsid w:val="001E5077"/>
    <w:rsid w:val="0031753E"/>
    <w:rsid w:val="00377F4B"/>
    <w:rsid w:val="004E0DDF"/>
    <w:rsid w:val="005F27D0"/>
    <w:rsid w:val="00627737"/>
    <w:rsid w:val="006F205F"/>
    <w:rsid w:val="00924427"/>
    <w:rsid w:val="009402C7"/>
    <w:rsid w:val="00A979AA"/>
    <w:rsid w:val="00BF0433"/>
    <w:rsid w:val="00CB0357"/>
    <w:rsid w:val="00D24387"/>
    <w:rsid w:val="00D738EA"/>
    <w:rsid w:val="00E80683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C2033-FA21-4A3C-8391-83600A56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Раушан Малгельдинова</cp:lastModifiedBy>
  <cp:revision>3</cp:revision>
  <dcterms:created xsi:type="dcterms:W3CDTF">2022-06-16T05:53:00Z</dcterms:created>
  <dcterms:modified xsi:type="dcterms:W3CDTF">2022-06-16T05:56:00Z</dcterms:modified>
</cp:coreProperties>
</file>